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-1065" w:rightChars="-507"/>
        <w:rPr>
          <w:rFonts w:ascii="仿宋_GB2312" w:eastAsia="仿宋_GB2312"/>
          <w:b/>
          <w:color w:val="0C0C0C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0C0C0C"/>
          <w:kern w:val="0"/>
          <w:sz w:val="32"/>
          <w:szCs w:val="32"/>
        </w:rPr>
        <w:t>附件4</w:t>
      </w:r>
    </w:p>
    <w:p>
      <w:pPr>
        <w:widowControl/>
        <w:spacing w:line="600" w:lineRule="exact"/>
        <w:ind w:right="-1065" w:rightChars="-507"/>
        <w:jc w:val="center"/>
        <w:rPr>
          <w:rFonts w:hint="eastAsia" w:ascii="方正大标宋简体" w:hAnsi="宋体" w:eastAsia="方正大标宋简体" w:cs="宋体"/>
          <w:color w:val="0C0C0C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color w:val="0C0C0C"/>
          <w:kern w:val="0"/>
          <w:sz w:val="36"/>
          <w:szCs w:val="36"/>
        </w:rPr>
        <w:t>公共课程与毕业要求的支撑矩阵（参考）</w:t>
      </w:r>
    </w:p>
    <w:p>
      <w:pPr>
        <w:widowControl/>
        <w:spacing w:line="600" w:lineRule="exact"/>
        <w:ind w:right="-1065" w:rightChars="-507"/>
        <w:jc w:val="center"/>
        <w:rPr>
          <w:rFonts w:hint="eastAsia" w:ascii="方正大标宋简体" w:hAnsi="宋体" w:eastAsia="方正大标宋简体" w:cs="宋体"/>
          <w:color w:val="0C0C0C"/>
          <w:kern w:val="0"/>
          <w:sz w:val="36"/>
          <w:szCs w:val="36"/>
        </w:rPr>
      </w:pPr>
    </w:p>
    <w:tbl>
      <w:tblPr>
        <w:tblStyle w:val="2"/>
        <w:tblpPr w:leftFromText="180" w:rightFromText="180" w:vertAnchor="text" w:horzAnchor="page" w:tblpX="824" w:tblpY="952"/>
        <w:tblOverlap w:val="never"/>
        <w:tblW w:w="10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660"/>
        <w:gridCol w:w="2730"/>
        <w:gridCol w:w="615"/>
        <w:gridCol w:w="585"/>
        <w:gridCol w:w="585"/>
        <w:gridCol w:w="600"/>
        <w:gridCol w:w="600"/>
        <w:gridCol w:w="600"/>
        <w:gridCol w:w="585"/>
        <w:gridCol w:w="660"/>
        <w:gridCol w:w="579"/>
        <w:gridCol w:w="67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  <w:t>课程类别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  <w:t>课程模块</w:t>
            </w:r>
          </w:p>
        </w:tc>
        <w:tc>
          <w:tcPr>
            <w:tcW w:w="27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  <w:t>课程名称</w:t>
            </w:r>
          </w:p>
        </w:tc>
        <w:tc>
          <w:tcPr>
            <w:tcW w:w="6774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  <w:t>毕业要求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</w:p>
        </w:tc>
        <w:tc>
          <w:tcPr>
            <w:tcW w:w="2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  <w:t>师德规范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  <w:t>教育情怀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  <w:t>知识整合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  <w:t>教学能力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  <w:t>技术融合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  <w:t>班级指导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  <w:t>综合育人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  <w:t>自主学习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  <w:t>国际视野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  <w:t>反思研究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b/>
                <w:bCs/>
                <w:color w:val="0C0C0C"/>
                <w:sz w:val="18"/>
                <w:szCs w:val="18"/>
              </w:rPr>
              <w:t>交流合作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</w:rPr>
              <w:t>通识教育课程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</w:rPr>
              <w:t>通识必修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</w:rPr>
              <w:t>马克思主义基本原理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</w:rPr>
              <w:t>毛泽东思想与中国特色社会主义理论体系概论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</w:rPr>
              <w:t>中国近代史纲要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</w:rPr>
              <w:t>思想道德修养与法律基础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</w:rPr>
              <w:t>形势与政策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</w:rPr>
              <w:t>大学英语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</w:rPr>
              <w:t>大学体育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黑体简体" w:hAnsi="方正黑体简体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  <w:lang w:val="en-US" w:eastAsia="zh-CN"/>
              </w:rPr>
              <w:t>健身与体能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</w:rPr>
              <w:t>大学生心理健康教育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</w:rPr>
              <w:t>职业生涯规划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</w:rPr>
              <w:t>就业指导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</w:rPr>
              <w:t>创新创业</w:t>
            </w:r>
            <w:r>
              <w:rPr>
                <w:rFonts w:hint="eastAsia" w:ascii="方正黑体简体" w:hAnsi="方正黑体简体"/>
                <w:color w:val="auto"/>
                <w:sz w:val="18"/>
                <w:szCs w:val="18"/>
                <w:lang w:eastAsia="zh-CN"/>
              </w:rPr>
              <w:t>基础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  <w:t>军事训练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方正宋三简体" w:hAnsi="宋体" w:eastAsia="方正宋三简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劳动教育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黑体简体" w:hAnsi="方正黑体简体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  <w:lang w:val="en-US" w:eastAsia="zh-CN"/>
              </w:rPr>
              <w:t>选择性必修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改革开放史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</w:rPr>
              <w:t>通识选修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  <w:t>中外文化与人文素养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  <w:t>数理基础与科学探索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  <w:t>社会发展与公民教育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</w:rPr>
              <w:t>师德养成与教育法治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  <w:t>美育体育与审美体验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  <w:t>卫生健康与生态文明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  <w:t>信息技术与未来教育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color w:val="auto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宋三简体" w:hAnsi="宋体" w:eastAsia="方正宋三简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四史教育与家国情怀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</w:tbl>
    <w:p>
      <w:pPr>
        <w:rPr>
          <w:rFonts w:hint="eastAsia" w:ascii="仿宋_GB2312" w:hAnsi="方正黑体简体" w:eastAsia="仿宋_GB2312"/>
          <w:b/>
          <w:color w:val="0C0C0C"/>
          <w:sz w:val="28"/>
          <w:szCs w:val="28"/>
        </w:rPr>
      </w:pPr>
      <w:r>
        <w:rPr>
          <w:rFonts w:hint="eastAsia" w:ascii="仿宋_GB2312" w:hAnsi="方正黑体简体" w:eastAsia="仿宋_GB2312"/>
          <w:b/>
          <w:color w:val="auto"/>
          <w:sz w:val="28"/>
          <w:szCs w:val="28"/>
        </w:rPr>
        <w:t>（1）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通识教育课程与师范专业毕业要求(三级)对应矩阵</w:t>
      </w:r>
    </w:p>
    <w:p>
      <w:pPr>
        <w:rPr>
          <w:rFonts w:hint="eastAsia" w:ascii="仿宋_GB2312" w:hAnsi="方正黑体简体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0C0C0C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方正黑体简体" w:eastAsia="仿宋_GB2312"/>
          <w:b/>
          <w:color w:val="auto"/>
          <w:sz w:val="28"/>
          <w:szCs w:val="28"/>
        </w:rPr>
        <w:t>（2）通识教育课程与工科专业毕业要求对应矩阵</w:t>
      </w:r>
    </w:p>
    <w:tbl>
      <w:tblPr>
        <w:tblStyle w:val="2"/>
        <w:tblpPr w:leftFromText="180" w:rightFromText="180" w:vertAnchor="text" w:horzAnchor="page" w:tblpX="730" w:tblpY="213"/>
        <w:tblOverlap w:val="never"/>
        <w:tblW w:w="10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406"/>
        <w:gridCol w:w="2172"/>
        <w:gridCol w:w="740"/>
        <w:gridCol w:w="600"/>
        <w:gridCol w:w="735"/>
        <w:gridCol w:w="540"/>
        <w:gridCol w:w="660"/>
        <w:gridCol w:w="705"/>
        <w:gridCol w:w="660"/>
        <w:gridCol w:w="600"/>
        <w:gridCol w:w="675"/>
        <w:gridCol w:w="495"/>
        <w:gridCol w:w="660"/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课程类别</w:t>
            </w:r>
          </w:p>
        </w:tc>
        <w:tc>
          <w:tcPr>
            <w:tcW w:w="4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课程模块</w:t>
            </w:r>
          </w:p>
        </w:tc>
        <w:tc>
          <w:tcPr>
            <w:tcW w:w="217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课程名称</w:t>
            </w:r>
          </w:p>
        </w:tc>
        <w:tc>
          <w:tcPr>
            <w:tcW w:w="765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毕业要求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工程知识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问题分析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设计/开发解决方案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研究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使用现代工具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工程与社会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环境和可持续发展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职业规范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个人和团队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沟通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项目管理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终身学习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通识教育课程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通识必修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马克思主义基本原理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毛泽东思想与中国特色社会主义理论体系概论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中国近代史纲要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思想道德修养与法律基础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形势与政策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大学英语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大学体育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大学生心理健康教育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职业生涯规划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就业指导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创新创业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基础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军事训练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劳动教育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选择性必修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改革开放史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  <w:t>M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通识选修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中外文化与人文素养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数理基础与科学探索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社会发展与公民教育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color w:val="auto"/>
                <w:sz w:val="18"/>
                <w:szCs w:val="18"/>
              </w:rPr>
              <w:t>师德养成与教育法治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美育体育与审美体验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卫生健康与生态文明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信息技术与未来教育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四史教育与家国情怀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L</w:t>
            </w: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 w:ascii="仿宋_GB2312" w:hAnsi="方正黑体简体" w:eastAsia="仿宋_GB2312"/>
          <w:b/>
          <w:color w:val="0C0C0C"/>
          <w:sz w:val="28"/>
          <w:szCs w:val="28"/>
        </w:rPr>
      </w:pPr>
    </w:p>
    <w:p>
      <w:pPr>
        <w:rPr>
          <w:rFonts w:hint="eastAsia" w:ascii="仿宋_GB2312" w:hAnsi="方正黑体简体" w:eastAsia="仿宋_GB2312"/>
          <w:b/>
          <w:color w:val="0C0C0C"/>
          <w:sz w:val="28"/>
          <w:szCs w:val="28"/>
        </w:rPr>
      </w:pPr>
      <w:r>
        <w:rPr>
          <w:rFonts w:hint="eastAsia" w:ascii="仿宋_GB2312" w:hAnsi="方正黑体简体" w:eastAsia="仿宋_GB2312"/>
          <w:b/>
          <w:color w:val="0C0C0C"/>
          <w:sz w:val="28"/>
          <w:szCs w:val="28"/>
        </w:rPr>
        <w:t>（3）教师教育模块课程与师范专业毕业要求(三级)对应矩阵</w:t>
      </w:r>
    </w:p>
    <w:tbl>
      <w:tblPr>
        <w:tblStyle w:val="2"/>
        <w:tblW w:w="10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2589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385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课程类别</w:t>
            </w:r>
          </w:p>
        </w:tc>
        <w:tc>
          <w:tcPr>
            <w:tcW w:w="2589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课程名称</w:t>
            </w:r>
          </w:p>
        </w:tc>
        <w:tc>
          <w:tcPr>
            <w:tcW w:w="7502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毕业要求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tblHeader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师德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规范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教育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情怀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知识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整合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教学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能力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技术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融合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班级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指导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综合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育人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自主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学习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国际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视野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反思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研究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交流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85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教师教育课程模块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教育学（含教师职业道德）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发展与教育心理学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教育政策与法规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师德案例与养成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现代教育技术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班级管理（含班主任工作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与综合育人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学科课程标准与教材研究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学科教材教法实验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学科教学设计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与微格教学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习近平总书记关于教育的重要论述研究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教师专业技能训练（含三笔一画和微格教学）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三笔一画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教育见习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教育实习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教育研习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核心素养导向的课堂教学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课程与教学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教育科学研究方法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统计产品与服务解决方案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中小学教学名师论坛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中外教育简史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中外教育电影赏析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大学教授中学课程系列专题讲座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艺术鉴赏讲座（音乐类、美术类）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家国情怀与师大教师精神系列课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综合实践活动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数字化教育资源设计与制作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学科课程资源开发与利用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教具设计与制作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学校心理健康教育与辅导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</w:t>
            </w:r>
          </w:p>
        </w:tc>
      </w:tr>
    </w:tbl>
    <w:p>
      <w:pPr>
        <w:rPr>
          <w:rFonts w:hint="eastAsia" w:ascii="宋体" w:hAnsi="宋体" w:cs="Meiryo"/>
          <w:color w:val="0C0C0C"/>
          <w:szCs w:val="21"/>
        </w:rPr>
      </w:pPr>
      <w:r>
        <w:rPr>
          <w:rFonts w:hint="eastAsia" w:ascii="宋体" w:hAnsi="宋体" w:cs="Meiryo"/>
          <w:color w:val="0C0C0C"/>
          <w:szCs w:val="21"/>
        </w:rPr>
        <w:t>注：各专业的学科课程可根据实际对支撑关系进行调整。</w:t>
      </w:r>
    </w:p>
    <w:p>
      <w:pPr>
        <w:rPr>
          <w:rFonts w:hint="eastAsia" w:ascii="仿宋_GB2312" w:hAnsi="方正黑体简体" w:eastAsia="仿宋_GB2312"/>
          <w:b/>
          <w:color w:val="0C0C0C"/>
          <w:sz w:val="28"/>
          <w:szCs w:val="28"/>
        </w:rPr>
      </w:pPr>
    </w:p>
    <w:p>
      <w:pPr>
        <w:rPr>
          <w:rFonts w:hint="eastAsia" w:ascii="仿宋_GB2312" w:hAnsi="方正黑体简体" w:eastAsia="仿宋_GB2312"/>
          <w:b/>
          <w:color w:val="0C0C0C"/>
          <w:sz w:val="28"/>
          <w:szCs w:val="28"/>
        </w:rPr>
      </w:pPr>
      <w:bookmarkStart w:id="0" w:name="_GoBack"/>
      <w:bookmarkEnd w:id="0"/>
      <w:r>
        <w:rPr>
          <w:rFonts w:hint="eastAsia" w:ascii="仿宋_GB2312" w:hAnsi="方正黑体简体" w:eastAsia="仿宋_GB2312"/>
          <w:b/>
          <w:color w:val="0C0C0C"/>
          <w:sz w:val="28"/>
          <w:szCs w:val="28"/>
        </w:rPr>
        <w:t>（4）基础课程与师范类专业毕业要求（三级）支撑矩阵</w:t>
      </w:r>
    </w:p>
    <w:tbl>
      <w:tblPr>
        <w:tblStyle w:val="2"/>
        <w:tblW w:w="87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  <w:gridCol w:w="297"/>
        <w:gridCol w:w="1418"/>
        <w:gridCol w:w="620"/>
        <w:gridCol w:w="619"/>
        <w:gridCol w:w="619"/>
        <w:gridCol w:w="607"/>
        <w:gridCol w:w="608"/>
        <w:gridCol w:w="619"/>
        <w:gridCol w:w="619"/>
        <w:gridCol w:w="619"/>
        <w:gridCol w:w="611"/>
        <w:gridCol w:w="611"/>
        <w:gridCol w:w="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  <w:lang w:bidi="ar"/>
              </w:rPr>
              <w:t>课程类别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师德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规范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情怀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知识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整合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  <w:lang w:bidi="ar"/>
              </w:rPr>
              <w:t>教学能力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技术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融合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班级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指导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综合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育人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自主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学习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国际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视野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反思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研究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交流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C0C0C"/>
                <w:sz w:val="18"/>
                <w:szCs w:val="18"/>
              </w:rPr>
              <w:t>合作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专业教育课程</w:t>
            </w:r>
          </w:p>
        </w:tc>
        <w:tc>
          <w:tcPr>
            <w:tcW w:w="29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专业基础必修课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高等数学A（上）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高等数学A（下）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高等数学B（上）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高等数学B（下）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高等数学C（上）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高等数学C（下）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高等数学D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概率论与数理统计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大学物理A（上）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C语言程序设计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黑体简体" w:hAnsi="方正黑体简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黑体简体" w:hAnsi="方正黑体简体"/>
                <w:color w:val="0C0C0C"/>
                <w:sz w:val="18"/>
                <w:szCs w:val="18"/>
              </w:rPr>
              <w:t>计算机应用基础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M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H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L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大学物理A（中）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大学物理A（下）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大学物理B（上）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大学物理B（下）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大学物理C（上）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大学物理C（下）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大学物理实验A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大学物理实验B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大学物理实验C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bidi="ar"/>
              </w:rPr>
              <w:t>H</w:t>
            </w:r>
          </w:p>
        </w:tc>
      </w:tr>
    </w:tbl>
    <w:p>
      <w:pPr>
        <w:widowControl/>
        <w:spacing w:line="600" w:lineRule="exact"/>
        <w:ind w:right="-1065" w:rightChars="-507"/>
        <w:rPr>
          <w:rFonts w:ascii="仿宋_GB2312" w:hAnsi="方正黑体简体" w:eastAsia="仿宋_GB2312"/>
          <w:b/>
          <w:color w:val="0C0C0C"/>
          <w:sz w:val="44"/>
          <w:szCs w:val="44"/>
        </w:rPr>
      </w:pPr>
    </w:p>
    <w:p>
      <w:pPr>
        <w:widowControl/>
        <w:spacing w:line="600" w:lineRule="exact"/>
        <w:ind w:right="-1065" w:rightChars="-507"/>
        <w:rPr>
          <w:rFonts w:hint="eastAsia" w:ascii="仿宋_GB2312" w:hAnsi="方正黑体简体" w:eastAsia="仿宋_GB2312"/>
          <w:b/>
          <w:color w:val="0C0C0C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MTljOGRhNjFkZjU5MjExYmY3YmVmYWY3N2IzNTMifQ=="/>
  </w:docVars>
  <w:rsids>
    <w:rsidRoot w:val="73057724"/>
    <w:rsid w:val="0695479D"/>
    <w:rsid w:val="0B2871BE"/>
    <w:rsid w:val="10354B64"/>
    <w:rsid w:val="46595971"/>
    <w:rsid w:val="501D55A4"/>
    <w:rsid w:val="5DD638E2"/>
    <w:rsid w:val="71EE5510"/>
    <w:rsid w:val="7305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1751</Words>
  <Characters>1751</Characters>
  <Lines>0</Lines>
  <Paragraphs>0</Paragraphs>
  <TotalTime>5</TotalTime>
  <ScaleCrop>false</ScaleCrop>
  <LinksUpToDate>false</LinksUpToDate>
  <CharactersWithSpaces>1752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2021-06-04T06:50:00Z</dcterms:created>
  <dc:creator>Lin</dc:creator>
  <cp:lastModifiedBy>林文松</cp:lastModifiedBy>
  <dcterms:modified xsi:type="dcterms:W3CDTF">2022-06-07T06:16:00Z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6D67B4FE1C8A4C3EB476CB0C2CABFC83</vt:lpwstr>
  </property>
</Properties>
</file>