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kern w:val="0"/>
          <w:sz w:val="30"/>
          <w:szCs w:val="30"/>
        </w:rPr>
      </w:pPr>
      <w:r>
        <w:rPr>
          <w:rFonts w:hint="eastAsia" w:ascii="黑体" w:hAnsi="黑体" w:eastAsia="黑体" w:cs="黑体"/>
          <w:kern w:val="0"/>
        </w:rPr>
        <w:t>附件1</w:t>
      </w:r>
    </w:p>
    <w:p>
      <w:pPr>
        <w:spacing w:line="600" w:lineRule="exact"/>
        <w:jc w:val="center"/>
        <w:rPr>
          <w:rFonts w:ascii="方正小标宋简体" w:hAnsi="方正小标宋简体" w:eastAsia="方正小标宋简体" w:cs="方正小标宋简体"/>
          <w:bCs/>
          <w:sz w:val="44"/>
          <w:szCs w:val="44"/>
        </w:rPr>
      </w:pPr>
    </w:p>
    <w:p>
      <w:pPr>
        <w:spacing w:line="600" w:lineRule="exact"/>
        <w:ind w:firstLine="64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XX学院2023年美育发展年度报告</w:t>
      </w:r>
    </w:p>
    <w:p>
      <w:pPr>
        <w:spacing w:line="600" w:lineRule="exact"/>
        <w:ind w:firstLine="640"/>
        <w:jc w:val="center"/>
        <w:rPr>
          <w:rFonts w:ascii="仿宋_GB2312" w:hAnsi="仿宋_GB2312" w:eastAsia="仿宋_GB2312" w:cs="仿宋_GB2312"/>
        </w:rPr>
      </w:pPr>
      <w:r>
        <w:rPr>
          <w:rFonts w:hint="eastAsia" w:ascii="方正小标宋简体" w:hAnsi="方正小标宋简体" w:eastAsia="方正小标宋简体" w:cs="方正小标宋简体"/>
          <w:bCs/>
          <w:sz w:val="44"/>
          <w:szCs w:val="44"/>
        </w:rPr>
        <w:t>框架要点</w:t>
      </w:r>
      <w:bookmarkStart w:id="0" w:name="_GoBack"/>
      <w:bookmarkEnd w:id="0"/>
    </w:p>
    <w:p>
      <w:pPr>
        <w:spacing w:line="600" w:lineRule="exact"/>
        <w:ind w:firstLine="640" w:firstLineChars="200"/>
        <w:rPr>
          <w:rFonts w:ascii="黑体" w:hAnsi="黑体" w:eastAsia="黑体" w:cs="黑体"/>
        </w:rPr>
      </w:pPr>
      <w:r>
        <w:rPr>
          <w:rFonts w:hint="eastAsia" w:ascii="黑体" w:hAnsi="黑体" w:eastAsia="黑体" w:cs="黑体"/>
        </w:rPr>
        <w:t>一、前言</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概述本校学习贯彻《中共中央办公厅 国务院办公厅关于全面加强和改进新时代学校美育工作的意见》《教育部关于切实加强新时代高等学校美育工作的意见》等美育文件情况；学校办学性质、结构，在校学生、教师总数，校园面积、美育环境等基本信息。</w:t>
      </w:r>
    </w:p>
    <w:p>
      <w:pPr>
        <w:spacing w:line="600" w:lineRule="exact"/>
        <w:ind w:firstLine="640"/>
        <w:rPr>
          <w:rFonts w:ascii="黑体" w:hAnsi="黑体" w:eastAsia="黑体" w:cs="黑体"/>
        </w:rPr>
      </w:pPr>
      <w:r>
        <w:rPr>
          <w:rFonts w:hint="eastAsia" w:ascii="黑体" w:hAnsi="黑体" w:eastAsia="黑体" w:cs="黑体"/>
        </w:rPr>
        <w:t>二、美育工作发展概况及亮点工作</w:t>
      </w:r>
    </w:p>
    <w:p>
      <w:pPr>
        <w:spacing w:line="600" w:lineRule="exact"/>
        <w:ind w:firstLine="640"/>
        <w:rPr>
          <w:rFonts w:ascii="仿宋_GB2312" w:hAnsi="仿宋_GB2312" w:eastAsia="仿宋_GB2312" w:cs="仿宋_GB2312"/>
        </w:rPr>
      </w:pPr>
      <w:r>
        <w:rPr>
          <w:rFonts w:hint="eastAsia" w:ascii="仿宋_GB2312" w:hAnsi="仿宋_GB2312" w:eastAsia="仿宋_GB2312" w:cs="仿宋_GB2312"/>
        </w:rPr>
        <w:t>简要介绍学校建立健全美育管理机构，完善工作机制，加强工作统筹、决策咨询和评估督导的管理体制与运行机制情况，重点陈述学校面向全体学生、当年开设的公共艺术课程与当年开展的艺术展演活动情况，有艺术教育专业与艺术师范教育院系的应同时分别陈述。</w:t>
      </w:r>
    </w:p>
    <w:p>
      <w:pPr>
        <w:spacing w:line="600" w:lineRule="exact"/>
        <w:ind w:firstLine="640"/>
        <w:rPr>
          <w:rFonts w:ascii="黑体" w:hAnsi="黑体" w:eastAsia="黑体" w:cs="黑体"/>
        </w:rPr>
      </w:pPr>
      <w:r>
        <w:rPr>
          <w:rFonts w:hint="eastAsia" w:ascii="黑体" w:hAnsi="黑体" w:eastAsia="黑体" w:cs="黑体"/>
        </w:rPr>
        <w:t>三、美育工作发展理念和定位</w:t>
      </w:r>
    </w:p>
    <w:p>
      <w:pPr>
        <w:spacing w:line="600" w:lineRule="exact"/>
        <w:ind w:firstLine="640"/>
        <w:rPr>
          <w:rFonts w:ascii="楷体_GB2312" w:hAnsi="楷体_GB2312" w:eastAsia="楷体_GB2312" w:cs="楷体_GB2312"/>
        </w:rPr>
      </w:pPr>
      <w:r>
        <w:rPr>
          <w:rFonts w:hint="eastAsia" w:ascii="楷体_GB2312" w:hAnsi="楷体_GB2312" w:eastAsia="楷体_GB2312" w:cs="楷体_GB2312"/>
        </w:rPr>
        <w:t>（一）人才培养目标定位中的美育规格</w:t>
      </w:r>
    </w:p>
    <w:p>
      <w:pPr>
        <w:spacing w:line="600" w:lineRule="exact"/>
        <w:ind w:firstLine="640"/>
        <w:rPr>
          <w:rFonts w:ascii="楷体_GB2312" w:hAnsi="楷体_GB2312" w:eastAsia="楷体_GB2312" w:cs="楷体_GB2312"/>
        </w:rPr>
      </w:pPr>
      <w:r>
        <w:rPr>
          <w:rFonts w:hint="eastAsia" w:ascii="楷体_GB2312" w:hAnsi="楷体_GB2312" w:eastAsia="楷体_GB2312" w:cs="楷体_GB2312"/>
        </w:rPr>
        <w:t>（二）十四五规划中美育专项发展战略</w:t>
      </w:r>
    </w:p>
    <w:p>
      <w:pPr>
        <w:spacing w:line="600" w:lineRule="exact"/>
        <w:ind w:firstLine="640"/>
        <w:rPr>
          <w:rFonts w:ascii="楷体_GB2312" w:hAnsi="楷体_GB2312" w:eastAsia="楷体_GB2312" w:cs="楷体_GB2312"/>
        </w:rPr>
      </w:pPr>
      <w:r>
        <w:rPr>
          <w:rFonts w:hint="eastAsia" w:ascii="楷体_GB2312" w:hAnsi="楷体_GB2312" w:eastAsia="楷体_GB2312" w:cs="楷体_GB2312"/>
        </w:rPr>
        <w:t>（三）美育质量保障机制体系</w:t>
      </w:r>
    </w:p>
    <w:p>
      <w:pPr>
        <w:spacing w:line="600" w:lineRule="exact"/>
        <w:ind w:firstLine="640"/>
        <w:rPr>
          <w:rFonts w:ascii="楷体_GB2312" w:hAnsi="楷体_GB2312" w:eastAsia="楷体_GB2312" w:cs="楷体_GB2312"/>
        </w:rPr>
      </w:pPr>
      <w:r>
        <w:rPr>
          <w:rFonts w:hint="eastAsia" w:ascii="楷体_GB2312" w:hAnsi="楷体_GB2312" w:eastAsia="楷体_GB2312" w:cs="楷体_GB2312"/>
        </w:rPr>
        <w:t>（四）美育工作发展激励政策</w:t>
      </w:r>
    </w:p>
    <w:p>
      <w:pPr>
        <w:spacing w:line="600" w:lineRule="exact"/>
        <w:ind w:firstLine="640"/>
        <w:rPr>
          <w:rFonts w:ascii="黑体" w:hAnsi="黑体" w:eastAsia="黑体" w:cs="黑体"/>
        </w:rPr>
      </w:pPr>
      <w:r>
        <w:rPr>
          <w:rFonts w:hint="eastAsia" w:ascii="黑体" w:hAnsi="黑体" w:eastAsia="黑体" w:cs="黑体"/>
        </w:rPr>
        <w:t>四、美育工作发展条件</w:t>
      </w:r>
    </w:p>
    <w:p>
      <w:pPr>
        <w:spacing w:line="600" w:lineRule="exact"/>
        <w:ind w:firstLine="640"/>
        <w:rPr>
          <w:rFonts w:ascii="楷体_GB2312" w:hAnsi="楷体_GB2312" w:eastAsia="楷体_GB2312" w:cs="楷体_GB2312"/>
          <w:b/>
          <w:bCs/>
        </w:rPr>
      </w:pPr>
      <w:r>
        <w:rPr>
          <w:rFonts w:hint="eastAsia" w:ascii="楷体_GB2312" w:hAnsi="楷体_GB2312" w:eastAsia="楷体_GB2312" w:cs="楷体_GB2312"/>
          <w:b/>
          <w:bCs/>
        </w:rPr>
        <w:t>（一）美育师资队伍建设与水平</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1.美育教师队伍的数量与结构（本报告中的美育师资主要是指全校的编内、人事代理（合同制）美育教师，含音乐、美术、艺术设计、书法、舞蹈、戏剧、戏曲、影视艺术等艺术类专业专职教师；面向全体学生的公共艺术专职教师。校外兼职教师需另外分类表述。）</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2.美育教师的专业水平和教学能力（可提供当年度《师生艺术类获奖情况相关统计表》作为依据。）</w:t>
      </w:r>
    </w:p>
    <w:p>
      <w:pPr>
        <w:spacing w:line="600" w:lineRule="exact"/>
        <w:ind w:firstLine="640"/>
        <w:rPr>
          <w:rFonts w:ascii="楷体_GB2312" w:hAnsi="楷体_GB2312" w:eastAsia="楷体_GB2312" w:cs="楷体_GB2312"/>
          <w:b/>
          <w:bCs/>
        </w:rPr>
      </w:pPr>
      <w:r>
        <w:rPr>
          <w:rFonts w:hint="eastAsia" w:ascii="楷体_GB2312" w:hAnsi="楷体_GB2312" w:eastAsia="楷体_GB2312" w:cs="楷体_GB2312"/>
          <w:b/>
          <w:bCs/>
        </w:rPr>
        <w:t>（二）美育教学与实践资源建设与水平</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1. 美育教学经费投入及保障机制（美育教学与展演实践活动经费投入数及保障机制文件等）</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2. 美育教育教学资源建设及共享（具体列出现有公共美育实践活动展演专用剧院、音乐厅、排练厅、博物馆、美术馆等艺术场馆类别、间数、面积。）</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3.美育网络资源、平台建设（开发与共享情况、具体数量）。</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4.公共艺术课程和美育教材体系开发建设</w:t>
      </w:r>
    </w:p>
    <w:p>
      <w:pPr>
        <w:spacing w:line="600" w:lineRule="exact"/>
        <w:ind w:firstLine="640" w:firstLineChars="200"/>
        <w:rPr>
          <w:rFonts w:ascii="黑体" w:hAnsi="黑体" w:eastAsia="黑体" w:cs="黑体"/>
        </w:rPr>
      </w:pPr>
      <w:r>
        <w:rPr>
          <w:rFonts w:hint="eastAsia" w:ascii="黑体" w:hAnsi="黑体" w:eastAsia="黑体" w:cs="黑体"/>
        </w:rPr>
        <w:t>五、美育培养实施过程</w:t>
      </w:r>
    </w:p>
    <w:p>
      <w:pPr>
        <w:spacing w:line="600" w:lineRule="exact"/>
        <w:ind w:firstLine="643" w:firstLineChars="200"/>
        <w:rPr>
          <w:rFonts w:ascii="楷体_GB2312" w:hAnsi="楷体_GB2312" w:eastAsia="楷体_GB2312" w:cs="楷体_GB2312"/>
          <w:b/>
          <w:bCs/>
        </w:rPr>
      </w:pPr>
      <w:r>
        <w:rPr>
          <w:rFonts w:hint="eastAsia" w:ascii="楷体_GB2312" w:hAnsi="楷体_GB2312" w:eastAsia="楷体_GB2312" w:cs="楷体_GB2312"/>
          <w:b/>
          <w:bCs/>
        </w:rPr>
        <w:t>（一）公共艺术课程教学与艺术实践</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1.公共艺术课程教学与艺术实践培养方案和教学目标的制订</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2.公共艺术课程与艺术实践的设置及开足开齐情况</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3.学生公共艺术课程学习与艺术实践及评价（执行情况，如修满2个学分方能毕业及学分评价考试考核方式）。</w:t>
      </w:r>
    </w:p>
    <w:p>
      <w:pPr>
        <w:spacing w:line="600" w:lineRule="exact"/>
        <w:ind w:firstLine="643" w:firstLineChars="200"/>
        <w:rPr>
          <w:rFonts w:ascii="楷体_GB2312" w:hAnsi="楷体_GB2312" w:eastAsia="楷体_GB2312" w:cs="楷体_GB2312"/>
          <w:b/>
          <w:bCs/>
        </w:rPr>
      </w:pPr>
      <w:r>
        <w:rPr>
          <w:rFonts w:hint="eastAsia" w:ascii="楷体_GB2312" w:hAnsi="楷体_GB2312" w:eastAsia="楷体_GB2312" w:cs="楷体_GB2312"/>
          <w:b/>
          <w:bCs/>
        </w:rPr>
        <w:t>（二）美育实践教学情况</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1.艺术展演实践活动的课程化管理。</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2.美育实践基地建设（含开设体现</w:t>
      </w:r>
      <w:r>
        <w:rPr>
          <w:rFonts w:hint="eastAsia" w:ascii="仿宋_GB2312" w:hAnsi="仿宋_GB2312" w:eastAsia="仿宋_GB2312" w:cs="仿宋_GB2312"/>
          <w:lang w:eastAsia="zh-CN"/>
        </w:rPr>
        <w:t>高等</w:t>
      </w:r>
      <w:r>
        <w:rPr>
          <w:rFonts w:hint="eastAsia" w:ascii="仿宋_GB2312" w:hAnsi="仿宋_GB2312" w:eastAsia="仿宋_GB2312" w:cs="仿宋_GB2312"/>
        </w:rPr>
        <w:t>教育特点的拓展性艺术课程）</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3.有机整合相关学科的美育内容，推进课程教学、社会实践和校园文化建设深度融合、丰富以及创新（含中外、闽台交流学习）</w:t>
      </w:r>
    </w:p>
    <w:p>
      <w:pPr>
        <w:spacing w:line="600" w:lineRule="exact"/>
        <w:ind w:firstLine="643" w:firstLineChars="200"/>
        <w:rPr>
          <w:rFonts w:ascii="楷体_GB2312" w:hAnsi="楷体_GB2312" w:eastAsia="楷体_GB2312" w:cs="楷体_GB2312"/>
          <w:b/>
          <w:bCs/>
        </w:rPr>
      </w:pPr>
      <w:r>
        <w:rPr>
          <w:rFonts w:hint="eastAsia" w:ascii="楷体_GB2312" w:hAnsi="楷体_GB2312" w:eastAsia="楷体_GB2312" w:cs="楷体_GB2312"/>
          <w:b/>
          <w:bCs/>
        </w:rPr>
        <w:t>（三）中华优秀传统文化传承和艺术经典教育及创新</w:t>
      </w:r>
    </w:p>
    <w:p>
      <w:pPr>
        <w:spacing w:line="600" w:lineRule="exact"/>
        <w:ind w:firstLine="640" w:firstLineChars="200"/>
        <w:rPr>
          <w:rFonts w:ascii="黑体" w:hAnsi="黑体" w:eastAsia="黑体" w:cs="黑体"/>
        </w:rPr>
      </w:pPr>
      <w:r>
        <w:rPr>
          <w:rFonts w:hint="eastAsia" w:ascii="黑体" w:hAnsi="黑体" w:eastAsia="黑体" w:cs="黑体"/>
        </w:rPr>
        <w:t>六、美育教学改革情况</w:t>
      </w:r>
    </w:p>
    <w:p>
      <w:pPr>
        <w:spacing w:line="600" w:lineRule="exact"/>
        <w:ind w:firstLine="640" w:firstLineChars="200"/>
        <w:rPr>
          <w:rFonts w:ascii="楷体_GB2312" w:hAnsi="楷体_GB2312" w:eastAsia="楷体_GB2312" w:cs="楷体_GB2312"/>
        </w:rPr>
      </w:pPr>
      <w:r>
        <w:rPr>
          <w:rFonts w:hint="eastAsia" w:ascii="楷体_GB2312" w:hAnsi="楷体_GB2312" w:eastAsia="楷体_GB2312" w:cs="楷体_GB2312"/>
        </w:rPr>
        <w:t>（一）美育与其他学科的渗透与融合的案例</w:t>
      </w:r>
    </w:p>
    <w:p>
      <w:pPr>
        <w:spacing w:line="600" w:lineRule="exact"/>
        <w:ind w:firstLine="640" w:firstLineChars="200"/>
        <w:rPr>
          <w:rFonts w:ascii="楷体_GB2312" w:hAnsi="楷体_GB2312" w:eastAsia="楷体_GB2312" w:cs="楷体_GB2312"/>
        </w:rPr>
      </w:pPr>
      <w:r>
        <w:rPr>
          <w:rFonts w:hint="eastAsia" w:ascii="楷体_GB2312" w:hAnsi="楷体_GB2312" w:eastAsia="楷体_GB2312" w:cs="楷体_GB2312"/>
        </w:rPr>
        <w:t>（二）以美育为主题的跨学科教育教学和实践活动的美育协同创新培养模式（含校校、校所、校企和校地协同创新）</w:t>
      </w:r>
    </w:p>
    <w:p>
      <w:pPr>
        <w:spacing w:line="600" w:lineRule="exact"/>
        <w:ind w:firstLine="640" w:firstLineChars="200"/>
        <w:rPr>
          <w:rFonts w:ascii="楷体_GB2312" w:hAnsi="楷体_GB2312" w:eastAsia="楷体_GB2312" w:cs="楷体_GB2312"/>
        </w:rPr>
      </w:pPr>
      <w:r>
        <w:rPr>
          <w:rFonts w:hint="eastAsia" w:ascii="楷体_GB2312" w:hAnsi="楷体_GB2312" w:eastAsia="楷体_GB2312" w:cs="楷体_GB2312"/>
        </w:rPr>
        <w:t>（三）美育科学研究（含智库、平台建设和课程改革等）</w:t>
      </w:r>
    </w:p>
    <w:p>
      <w:pPr>
        <w:spacing w:line="600" w:lineRule="exact"/>
        <w:ind w:firstLine="640" w:firstLineChars="200"/>
        <w:rPr>
          <w:rFonts w:ascii="黑体" w:hAnsi="黑体" w:eastAsia="黑体" w:cs="黑体"/>
        </w:rPr>
      </w:pPr>
      <w:r>
        <w:rPr>
          <w:rFonts w:hint="eastAsia" w:ascii="黑体" w:hAnsi="黑体" w:eastAsia="黑体" w:cs="黑体"/>
        </w:rPr>
        <w:t>七、美育工作产出效果</w:t>
      </w:r>
    </w:p>
    <w:p>
      <w:pPr>
        <w:spacing w:line="600" w:lineRule="exact"/>
        <w:ind w:firstLine="640" w:firstLineChars="200"/>
        <w:rPr>
          <w:rFonts w:ascii="楷体_GB2312" w:hAnsi="楷体_GB2312" w:eastAsia="楷体_GB2312" w:cs="楷体_GB2312"/>
        </w:rPr>
      </w:pPr>
      <w:r>
        <w:rPr>
          <w:rFonts w:hint="eastAsia" w:ascii="楷体_GB2312" w:hAnsi="楷体_GB2312" w:eastAsia="楷体_GB2312" w:cs="楷体_GB2312"/>
        </w:rPr>
        <w:t>（一）重大艺术展演活动参与及获奖情况</w:t>
      </w:r>
    </w:p>
    <w:p>
      <w:pPr>
        <w:spacing w:line="600" w:lineRule="exact"/>
        <w:ind w:firstLine="640" w:firstLineChars="200"/>
        <w:rPr>
          <w:rFonts w:ascii="楷体_GB2312" w:hAnsi="楷体_GB2312" w:eastAsia="楷体_GB2312" w:cs="楷体_GB2312"/>
        </w:rPr>
      </w:pPr>
      <w:r>
        <w:rPr>
          <w:rFonts w:hint="eastAsia" w:ascii="楷体_GB2312" w:hAnsi="楷体_GB2312" w:eastAsia="楷体_GB2312" w:cs="楷体_GB2312"/>
        </w:rPr>
        <w:t>（二）美育科研教研数量及影响力</w:t>
      </w:r>
    </w:p>
    <w:p>
      <w:pPr>
        <w:spacing w:line="600" w:lineRule="exact"/>
        <w:ind w:firstLine="640" w:firstLineChars="200"/>
        <w:rPr>
          <w:rFonts w:ascii="楷体_GB2312" w:hAnsi="楷体_GB2312" w:eastAsia="楷体_GB2312" w:cs="楷体_GB2312"/>
        </w:rPr>
      </w:pPr>
      <w:r>
        <w:rPr>
          <w:rFonts w:hint="eastAsia" w:ascii="楷体_GB2312" w:hAnsi="楷体_GB2312" w:eastAsia="楷体_GB2312" w:cs="楷体_GB2312"/>
        </w:rPr>
        <w:t>（三）美育服务社会能力</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1.美育志愿服务</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2.社会美育实践活动</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3.校园美育实践活动</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4.艺术场馆开放</w:t>
      </w:r>
    </w:p>
    <w:p>
      <w:pPr>
        <w:spacing w:line="600" w:lineRule="exact"/>
        <w:ind w:firstLine="640" w:firstLineChars="200"/>
        <w:rPr>
          <w:rFonts w:ascii="黑体" w:hAnsi="黑体" w:eastAsia="黑体" w:cs="黑体"/>
        </w:rPr>
      </w:pPr>
      <w:r>
        <w:rPr>
          <w:rFonts w:hint="eastAsia" w:ascii="黑体" w:hAnsi="黑体" w:eastAsia="黑体" w:cs="黑体"/>
        </w:rPr>
        <w:t>八、本校特色案例、特色举措</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指学校在专业美育、公共美育工作特色及建设成效。包括政策文件的制定，美育相关的办学特色、校园美育环境建设特色和美育相关奖励激励特色等。</w:t>
      </w:r>
    </w:p>
    <w:p>
      <w:pPr>
        <w:spacing w:line="600" w:lineRule="exact"/>
        <w:ind w:firstLine="640" w:firstLineChars="200"/>
        <w:rPr>
          <w:rFonts w:ascii="黑体" w:hAnsi="黑体" w:eastAsia="黑体" w:cs="黑体"/>
        </w:rPr>
      </w:pPr>
      <w:r>
        <w:rPr>
          <w:rFonts w:hint="eastAsia" w:ascii="黑体" w:hAnsi="黑体" w:eastAsia="黑体" w:cs="黑体"/>
        </w:rPr>
        <w:t>九、存在问题</w:t>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rPr>
        <w:t>包括以往和今年的问题</w:t>
      </w:r>
    </w:p>
    <w:p>
      <w:pPr>
        <w:spacing w:line="600" w:lineRule="exact"/>
        <w:ind w:firstLine="640" w:firstLineChars="200"/>
        <w:rPr>
          <w:rFonts w:ascii="黑体" w:hAnsi="黑体" w:eastAsia="黑体" w:cs="黑体"/>
        </w:rPr>
      </w:pPr>
      <w:r>
        <w:rPr>
          <w:rFonts w:hint="eastAsia" w:ascii="黑体" w:hAnsi="黑体" w:eastAsia="黑体" w:cs="黑体"/>
        </w:rPr>
        <w:t>十、对策建议</w:t>
      </w:r>
    </w:p>
    <w:p>
      <w:pPr>
        <w:spacing w:line="600" w:lineRule="exact"/>
        <w:ind w:firstLine="640" w:firstLineChars="200"/>
        <w:rPr>
          <w:rFonts w:hint="default" w:ascii="仿宋_GB2312" w:hAnsi="仿宋_GB2312" w:eastAsia="仿宋_GB2312" w:cs="仿宋_GB2312"/>
          <w:lang w:val="en" w:eastAsia="zh-CN"/>
        </w:rPr>
      </w:pPr>
      <w:r>
        <w:rPr>
          <w:rFonts w:hint="eastAsia" w:ascii="仿宋_GB2312" w:hAnsi="仿宋_GB2312" w:eastAsia="仿宋_GB2312" w:cs="仿宋_GB2312"/>
        </w:rPr>
        <w:t>包括针对本校上一年度和今年不足问题的改进对策，需要上级协调或相关部门协同共育的建议。</w:t>
      </w:r>
    </w:p>
    <w:p>
      <w:pPr>
        <w:spacing w:line="600" w:lineRule="exact"/>
        <w:ind w:firstLine="640" w:firstLineChars="200"/>
        <w:rPr>
          <w:rFonts w:hint="eastAsia" w:ascii="仿宋_GB2312" w:hAnsi="仿宋_GB2312" w:eastAsia="仿宋_GB2312" w:cs="仿宋_GB2312"/>
          <w:lang w:eastAsia="zh-CN"/>
        </w:rPr>
      </w:pPr>
    </w:p>
    <w:p>
      <w:pPr>
        <w:spacing w:line="600" w:lineRule="exact"/>
        <w:ind w:firstLine="640" w:firstLineChars="200"/>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【说明：</w:t>
      </w:r>
      <w:r>
        <w:rPr>
          <w:rFonts w:hint="eastAsia" w:ascii="仿宋_GB2312" w:hAnsi="仿宋_GB2312" w:eastAsia="仿宋_GB2312" w:cs="仿宋_GB2312"/>
        </w:rPr>
        <w:t>报告内的文字应与本校上报的附件3各项数据相关联，围绕数据展开各部分的工作总结，与学校美育工作、附件3数据、框架内容无关的内容，请勿赘述。我厅将根据各校报送的相关数据和报告，适时开展调研和督导。</w:t>
      </w:r>
      <w:r>
        <w:rPr>
          <w:rFonts w:hint="eastAsia" w:ascii="仿宋_GB2312" w:hAnsi="仿宋_GB2312" w:eastAsia="仿宋_GB2312" w:cs="仿宋_GB2312"/>
          <w:lang w:eastAsia="zh-CN"/>
        </w:rPr>
        <w:t>】</w:t>
      </w:r>
    </w:p>
    <w:p>
      <w:pPr>
        <w:spacing w:line="600" w:lineRule="exact"/>
        <w:ind w:firstLine="640" w:firstLineChars="200"/>
        <w:rPr>
          <w:rFonts w:ascii="仿宋_GB2312" w:hAnsi="仿宋_GB2312" w:eastAsia="仿宋_GB2312" w:cs="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0000600000000000000"/>
    <w:charset w:val="86"/>
    <w:family w:val="script"/>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jNTliYmY3MWZmYjMzZTZkZWUzNGFmZGZlNzg1OWUifQ=="/>
  </w:docVars>
  <w:rsids>
    <w:rsidRoot w:val="7FF5AE33"/>
    <w:rsid w:val="00062E4A"/>
    <w:rsid w:val="000D745F"/>
    <w:rsid w:val="0039273D"/>
    <w:rsid w:val="003D0D40"/>
    <w:rsid w:val="004F35FD"/>
    <w:rsid w:val="009C7654"/>
    <w:rsid w:val="00B57837"/>
    <w:rsid w:val="00D425B9"/>
    <w:rsid w:val="00D77E1B"/>
    <w:rsid w:val="00F232B2"/>
    <w:rsid w:val="00FB4B9A"/>
    <w:rsid w:val="08223565"/>
    <w:rsid w:val="43C54679"/>
    <w:rsid w:val="7AE82693"/>
    <w:rsid w:val="7B7719AC"/>
    <w:rsid w:val="7FF5AE33"/>
    <w:rsid w:val="9DEFE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0"/>
    <w:rPr>
      <w:rFonts w:ascii="Times New Roman" w:hAnsi="Times New Roman" w:eastAsia="仿宋" w:cs="Times New Roman"/>
      <w:color w:val="000000"/>
      <w:kern w:val="2"/>
      <w:sz w:val="18"/>
      <w:szCs w:val="18"/>
    </w:rPr>
  </w:style>
  <w:style w:type="character" w:customStyle="1" w:styleId="8">
    <w:name w:val="页脚 Char"/>
    <w:basedOn w:val="6"/>
    <w:link w:val="3"/>
    <w:autoRedefine/>
    <w:qFormat/>
    <w:uiPriority w:val="0"/>
    <w:rPr>
      <w:rFonts w:ascii="Times New Roman" w:hAnsi="Times New Roman" w:eastAsia="仿宋" w:cs="Times New Roman"/>
      <w:color w:val="000000"/>
      <w:kern w:val="2"/>
      <w:sz w:val="18"/>
      <w:szCs w:val="18"/>
    </w:rPr>
  </w:style>
  <w:style w:type="character" w:customStyle="1" w:styleId="9">
    <w:name w:val="批注框文本 Char"/>
    <w:basedOn w:val="6"/>
    <w:link w:val="2"/>
    <w:autoRedefine/>
    <w:qFormat/>
    <w:uiPriority w:val="0"/>
    <w:rPr>
      <w:rFonts w:ascii="Times New Roman" w:hAnsi="Times New Roman" w:eastAsia="仿宋" w:cs="Times New Roman"/>
      <w:color w:val="000000"/>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219</Words>
  <Characters>1252</Characters>
  <Lines>10</Lines>
  <Paragraphs>2</Paragraphs>
  <TotalTime>0</TotalTime>
  <ScaleCrop>false</ScaleCrop>
  <LinksUpToDate>false</LinksUpToDate>
  <CharactersWithSpaces>1469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2022-12-07T00:58:00Z</dcterms:created>
  <dc:creator>郑娟娟</dc:creator>
  <cp:lastModifiedBy>Hongyuan</cp:lastModifiedBy>
  <cp:lastPrinted>2024-01-02T11:30:00Z</cp:lastPrinted>
  <dcterms:modified xsi:type="dcterms:W3CDTF">2024-01-03T06:55:08Z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A7E411C94AFD460AA0FABCC0FC4BF130_13</vt:lpwstr>
  </property>
</Properties>
</file>