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8C15CC">
      <w:pPr>
        <w:widowControl/>
        <w:adjustRightInd w:val="0"/>
        <w:snapToGrid w:val="0"/>
        <w:spacing w:line="480" w:lineRule="auto"/>
        <w:jc w:val="center"/>
        <w:rPr>
          <w:rFonts w:ascii="黑体" w:hAnsi="黑体" w:eastAsia="黑体" w:cs="黑体"/>
          <w:b/>
          <w:kern w:val="0"/>
          <w:sz w:val="24"/>
          <w:szCs w:val="24"/>
        </w:rPr>
      </w:pPr>
      <w:bookmarkStart w:id="7" w:name="_GoBack"/>
      <w:bookmarkEnd w:id="7"/>
      <w:r>
        <w:rPr>
          <w:rFonts w:hint="eastAsia" w:ascii="黑体" w:hAnsi="黑体" w:eastAsia="黑体" w:cs="黑体"/>
          <w:b/>
          <w:kern w:val="0"/>
          <w:sz w:val="24"/>
          <w:szCs w:val="24"/>
        </w:rPr>
        <w:t>项目校级系统结题工作简易操作指南</w:t>
      </w:r>
    </w:p>
    <w:p w14:paraId="5AB3FCAE">
      <w:pPr>
        <w:widowControl/>
        <w:adjustRightInd w:val="0"/>
        <w:snapToGrid w:val="0"/>
        <w:spacing w:line="480" w:lineRule="auto"/>
        <w:ind w:firstLine="482" w:firstLineChars="200"/>
        <w:jc w:val="left"/>
        <w:rPr>
          <w:rFonts w:ascii="黑体" w:hAnsi="黑体" w:eastAsia="黑体" w:cs="黑体"/>
          <w:b/>
          <w:kern w:val="0"/>
          <w:sz w:val="24"/>
          <w:szCs w:val="24"/>
        </w:rPr>
      </w:pPr>
    </w:p>
    <w:sdt>
      <w:sdtPr>
        <w:rPr>
          <w:rFonts w:ascii="宋体" w:hAnsi="宋体"/>
        </w:rPr>
        <w:id w:val="147454068"/>
        <w:docPartObj>
          <w:docPartGallery w:val="Table of Contents"/>
          <w:docPartUnique/>
        </w:docPartObj>
      </w:sdtPr>
      <w:sdtEndPr>
        <w:rPr>
          <w:rFonts w:ascii="宋体" w:hAnsi="宋体"/>
        </w:rPr>
      </w:sdtEndPr>
      <w:sdtContent>
        <w:p w14:paraId="26647A01">
          <w:pPr>
            <w:spacing w:line="360" w:lineRule="auto"/>
            <w:jc w:val="center"/>
            <w:rPr>
              <w:rFonts w:ascii="宋体" w:hAnsi="宋体"/>
              <w:sz w:val="24"/>
              <w:szCs w:val="24"/>
            </w:rPr>
          </w:pPr>
          <w:r>
            <w:rPr>
              <w:rFonts w:ascii="宋体" w:hAnsi="宋体"/>
              <w:sz w:val="24"/>
              <w:szCs w:val="24"/>
            </w:rPr>
            <w:t>目</w:t>
          </w:r>
          <w:r>
            <w:rPr>
              <w:rFonts w:hint="eastAsia" w:ascii="宋体" w:hAnsi="宋体"/>
              <w:sz w:val="24"/>
              <w:szCs w:val="24"/>
            </w:rPr>
            <w:t xml:space="preserve"> </w:t>
          </w:r>
          <w:r>
            <w:rPr>
              <w:rFonts w:ascii="宋体" w:hAnsi="宋体"/>
              <w:sz w:val="24"/>
              <w:szCs w:val="24"/>
            </w:rPr>
            <w:t>录</w:t>
          </w:r>
        </w:p>
        <w:p w14:paraId="0E1A32F1">
          <w:pPr>
            <w:spacing w:line="360" w:lineRule="auto"/>
            <w:jc w:val="center"/>
            <w:rPr>
              <w:rFonts w:ascii="宋体" w:hAnsi="宋体"/>
              <w:sz w:val="24"/>
              <w:szCs w:val="24"/>
            </w:rPr>
          </w:pPr>
        </w:p>
        <w:p w14:paraId="05EFA83B">
          <w:pPr>
            <w:pStyle w:val="8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TOC \o "1-3" \h \u </w:instrText>
          </w:r>
          <w:r>
            <w:rPr>
              <w:sz w:val="24"/>
              <w:szCs w:val="24"/>
            </w:rPr>
            <w:fldChar w:fldCharType="separate"/>
          </w:r>
          <w:r>
            <w:fldChar w:fldCharType="begin"/>
          </w:r>
          <w:r>
            <w:instrText xml:space="preserve"> HYPERLINK \l "_Toc28099" </w:instrText>
          </w:r>
          <w:r>
            <w:fldChar w:fldCharType="separate"/>
          </w:r>
          <w:r>
            <w:rPr>
              <w:rFonts w:hint="eastAsia"/>
              <w:sz w:val="24"/>
              <w:szCs w:val="24"/>
            </w:rPr>
            <w:t>一、系统结题工作流程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_Toc28099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2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 w14:paraId="56CDFD5E">
          <w:pPr>
            <w:pStyle w:val="8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"_Toc32294" </w:instrText>
          </w:r>
          <w:r>
            <w:fldChar w:fldCharType="separate"/>
          </w:r>
          <w:r>
            <w:rPr>
              <w:rFonts w:hint="eastAsia"/>
              <w:sz w:val="24"/>
              <w:szCs w:val="24"/>
            </w:rPr>
            <w:t>二、系统结题工作各人员主要操作内容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_Toc32294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2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 w14:paraId="4868F749">
          <w:pPr>
            <w:pStyle w:val="8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"_Toc31611" </w:instrText>
          </w:r>
          <w:r>
            <w:fldChar w:fldCharType="separate"/>
          </w:r>
          <w:r>
            <w:rPr>
              <w:rFonts w:hint="eastAsia"/>
              <w:sz w:val="24"/>
              <w:szCs w:val="24"/>
            </w:rPr>
            <w:t>三、系统设置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_Toc31611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2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 w14:paraId="68DD3310">
          <w:pPr>
            <w:pStyle w:val="8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"_Toc28015" </w:instrText>
          </w:r>
          <w:r>
            <w:fldChar w:fldCharType="separate"/>
          </w:r>
          <w:r>
            <w:rPr>
              <w:rFonts w:hint="eastAsia"/>
              <w:sz w:val="24"/>
              <w:szCs w:val="24"/>
            </w:rPr>
            <w:t>四、学生操作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_Toc28015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3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 w14:paraId="2010C3C5">
          <w:pPr>
            <w:pStyle w:val="8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"_Toc14697" </w:instrText>
          </w:r>
          <w:r>
            <w:fldChar w:fldCharType="separate"/>
          </w:r>
          <w:r>
            <w:rPr>
              <w:rFonts w:hint="eastAsia"/>
              <w:sz w:val="24"/>
              <w:szCs w:val="24"/>
            </w:rPr>
            <w:t>五、指导教师操作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_Toc14697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8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 w14:paraId="4F2397D8">
          <w:pPr>
            <w:pStyle w:val="8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"_Toc4335" </w:instrText>
          </w:r>
          <w:r>
            <w:fldChar w:fldCharType="separate"/>
          </w:r>
          <w:r>
            <w:rPr>
              <w:rFonts w:hint="eastAsia"/>
              <w:sz w:val="24"/>
              <w:szCs w:val="24"/>
            </w:rPr>
            <w:t>六、学院管理员操作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_Toc4335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9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 w14:paraId="0FE7173E">
          <w:pPr>
            <w:pStyle w:val="8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r>
            <w:fldChar w:fldCharType="begin"/>
          </w:r>
          <w:r>
            <w:instrText xml:space="preserve"> HYPERLINK \l "_Toc13612" </w:instrText>
          </w:r>
          <w:r>
            <w:fldChar w:fldCharType="separate"/>
          </w:r>
          <w:r>
            <w:rPr>
              <w:rFonts w:hint="eastAsia"/>
              <w:sz w:val="24"/>
              <w:szCs w:val="24"/>
            </w:rPr>
            <w:t>七、专家操作</w:t>
          </w:r>
          <w:r>
            <w:rPr>
              <w:sz w:val="24"/>
              <w:szCs w:val="24"/>
            </w:rPr>
            <w:tab/>
          </w:r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 PAGEREF _Toc13612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 w:val="24"/>
              <w:szCs w:val="24"/>
            </w:rPr>
            <w:t>11</w:t>
          </w:r>
          <w:r>
            <w:rPr>
              <w:sz w:val="24"/>
              <w:szCs w:val="24"/>
            </w:rPr>
            <w:fldChar w:fldCharType="end"/>
          </w:r>
          <w:r>
            <w:rPr>
              <w:sz w:val="24"/>
              <w:szCs w:val="24"/>
            </w:rPr>
            <w:fldChar w:fldCharType="end"/>
          </w:r>
        </w:p>
        <w:p w14:paraId="120C68E0">
          <w:pPr>
            <w:spacing w:line="360" w:lineRule="auto"/>
            <w:rPr>
              <w:sz w:val="24"/>
              <w:szCs w:val="24"/>
            </w:rPr>
          </w:pPr>
          <w:r>
            <w:rPr>
              <w:sz w:val="24"/>
              <w:szCs w:val="24"/>
            </w:rPr>
            <w:fldChar w:fldCharType="end"/>
          </w:r>
        </w:p>
        <w:p w14:paraId="002B5517">
          <w:pPr>
            <w:spacing w:line="360" w:lineRule="auto"/>
            <w:rPr>
              <w:sz w:val="24"/>
              <w:szCs w:val="24"/>
            </w:rPr>
          </w:pPr>
        </w:p>
        <w:p w14:paraId="7D3DE383">
          <w:pPr>
            <w:spacing w:line="360" w:lineRule="auto"/>
            <w:rPr>
              <w:sz w:val="24"/>
              <w:szCs w:val="24"/>
            </w:rPr>
          </w:pPr>
        </w:p>
        <w:p w14:paraId="3029E645">
          <w:pPr>
            <w:spacing w:line="360" w:lineRule="auto"/>
            <w:rPr>
              <w:sz w:val="24"/>
              <w:szCs w:val="24"/>
            </w:rPr>
          </w:pPr>
        </w:p>
        <w:p w14:paraId="01C26D6D">
          <w:pPr>
            <w:spacing w:line="360" w:lineRule="auto"/>
            <w:rPr>
              <w:sz w:val="24"/>
              <w:szCs w:val="24"/>
            </w:rPr>
          </w:pPr>
        </w:p>
        <w:p w14:paraId="103A021C">
          <w:pPr>
            <w:spacing w:line="360" w:lineRule="auto"/>
            <w:rPr>
              <w:sz w:val="24"/>
              <w:szCs w:val="24"/>
            </w:rPr>
          </w:pPr>
        </w:p>
        <w:p w14:paraId="6C5D5EE2">
          <w:pPr>
            <w:spacing w:line="360" w:lineRule="auto"/>
            <w:rPr>
              <w:sz w:val="24"/>
              <w:szCs w:val="24"/>
            </w:rPr>
          </w:pPr>
        </w:p>
        <w:p w14:paraId="5A8DFED2">
          <w:pPr>
            <w:spacing w:line="360" w:lineRule="auto"/>
            <w:rPr>
              <w:sz w:val="24"/>
              <w:szCs w:val="24"/>
            </w:rPr>
          </w:pPr>
        </w:p>
        <w:p w14:paraId="59942F6A">
          <w:pPr>
            <w:spacing w:line="360" w:lineRule="auto"/>
            <w:rPr>
              <w:sz w:val="24"/>
              <w:szCs w:val="24"/>
            </w:rPr>
          </w:pPr>
        </w:p>
        <w:p w14:paraId="79F9C40A">
          <w:pPr>
            <w:spacing w:line="360" w:lineRule="auto"/>
            <w:rPr>
              <w:sz w:val="24"/>
              <w:szCs w:val="24"/>
            </w:rPr>
          </w:pPr>
        </w:p>
        <w:p w14:paraId="5DB2041B">
          <w:pPr>
            <w:spacing w:line="360" w:lineRule="auto"/>
            <w:rPr>
              <w:sz w:val="24"/>
              <w:szCs w:val="24"/>
            </w:rPr>
          </w:pPr>
        </w:p>
        <w:p w14:paraId="73077793">
          <w:pPr>
            <w:spacing w:line="360" w:lineRule="auto"/>
            <w:rPr>
              <w:sz w:val="24"/>
              <w:szCs w:val="24"/>
            </w:rPr>
          </w:pPr>
        </w:p>
        <w:p w14:paraId="4B22DB85">
          <w:pPr>
            <w:spacing w:line="360" w:lineRule="auto"/>
            <w:rPr>
              <w:sz w:val="24"/>
              <w:szCs w:val="24"/>
            </w:rPr>
          </w:pPr>
        </w:p>
        <w:p w14:paraId="50FB4E58">
          <w:pPr>
            <w:spacing w:line="360" w:lineRule="auto"/>
            <w:rPr>
              <w:sz w:val="24"/>
              <w:szCs w:val="24"/>
            </w:rPr>
          </w:pPr>
        </w:p>
        <w:p w14:paraId="19D95793">
          <w:pPr>
            <w:spacing w:line="360" w:lineRule="auto"/>
            <w:rPr>
              <w:sz w:val="24"/>
              <w:szCs w:val="24"/>
            </w:rPr>
          </w:pPr>
        </w:p>
        <w:p w14:paraId="0DAA746E">
          <w:pPr>
            <w:spacing w:line="360" w:lineRule="auto"/>
            <w:rPr>
              <w:sz w:val="24"/>
              <w:szCs w:val="24"/>
            </w:rPr>
          </w:pPr>
        </w:p>
        <w:p w14:paraId="4FFC8C06">
          <w:pPr>
            <w:spacing w:line="360" w:lineRule="auto"/>
          </w:pPr>
        </w:p>
      </w:sdtContent>
    </w:sdt>
    <w:p w14:paraId="74B29454">
      <w:pPr>
        <w:pStyle w:val="2"/>
        <w:numPr>
          <w:ilvl w:val="0"/>
          <w:numId w:val="1"/>
        </w:numPr>
        <w:ind w:left="420"/>
      </w:pPr>
      <w:bookmarkStart w:id="0" w:name="_Toc28099"/>
      <w:r>
        <w:rPr>
          <w:rFonts w:hint="eastAsia"/>
        </w:rPr>
        <w:t>系统结题工作流程</w:t>
      </w:r>
      <w:bookmarkEnd w:id="0"/>
    </w:p>
    <w:p w14:paraId="303C974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1.结题：学生申请--指导教师审核--学院审核--学校审核。</w:t>
      </w:r>
    </w:p>
    <w:p w14:paraId="6827C3FE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2.成果管理：学生添加--指导教师可查看或修改。</w:t>
      </w:r>
    </w:p>
    <w:p w14:paraId="380FB96D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3.经费管理：学生添加--指导教师确认。</w:t>
      </w:r>
    </w:p>
    <w:p w14:paraId="1491CEA0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4.项目变更：学生申请--指导教师审核--学院审核--学校审核。</w:t>
      </w:r>
    </w:p>
    <w:p w14:paraId="7F369D4E">
      <w:pPr>
        <w:pStyle w:val="2"/>
        <w:ind w:left="420"/>
      </w:pPr>
      <w:bookmarkStart w:id="1" w:name="_Toc32294"/>
      <w:r>
        <w:rPr>
          <w:rFonts w:hint="eastAsia"/>
        </w:rPr>
        <w:t>二、系统结题工作各人员主要操作内容</w:t>
      </w:r>
      <w:bookmarkEnd w:id="1"/>
    </w:p>
    <w:p w14:paraId="315881CF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1.学生：项目结题申请、成果管理、经费管理。</w:t>
      </w:r>
    </w:p>
    <w:p w14:paraId="640818A0">
      <w:pPr>
        <w:widowControl/>
        <w:adjustRightInd w:val="0"/>
        <w:snapToGrid w:val="0"/>
        <w:spacing w:line="360" w:lineRule="auto"/>
        <w:ind w:firstLine="42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drawing>
          <wp:inline distT="0" distB="0" distL="0" distR="0">
            <wp:extent cx="5486400" cy="1174750"/>
            <wp:effectExtent l="0" t="0" r="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17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EA387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2.指导教师：项目结题审核、成果管理、经费管理。</w:t>
      </w:r>
    </w:p>
    <w:p w14:paraId="4BEC7D23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3.学院管理人员：项目结题审核。</w:t>
      </w:r>
    </w:p>
    <w:p w14:paraId="033A3BB5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4.专家：项目结题评价。</w:t>
      </w:r>
    </w:p>
    <w:p w14:paraId="14F45A9A">
      <w:pPr>
        <w:pStyle w:val="2"/>
        <w:ind w:left="420"/>
      </w:pPr>
      <w:bookmarkStart w:id="2" w:name="_Toc31611"/>
      <w:r>
        <w:rPr>
          <w:rFonts w:hint="eastAsia"/>
        </w:rPr>
        <w:t>三、系统设置</w:t>
      </w:r>
      <w:bookmarkEnd w:id="2"/>
    </w:p>
    <w:p w14:paraId="45E9E251"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1.学校创新创业管理平台连接：</w:t>
      </w:r>
      <w:r>
        <w:rPr>
          <w:rFonts w:ascii="宋体" w:hAnsi="宋体" w:cs="宋体"/>
          <w:bCs/>
          <w:kern w:val="0"/>
          <w:sz w:val="24"/>
          <w:szCs w:val="24"/>
        </w:rPr>
        <w:t>http://cxxl.fjnu.edu.cn/aexp/</w:t>
      </w:r>
      <w:r>
        <w:rPr>
          <w:rFonts w:hint="eastAsia" w:ascii="宋体" w:hAnsi="宋体" w:cs="宋体"/>
          <w:bCs/>
          <w:kern w:val="0"/>
          <w:sz w:val="24"/>
          <w:szCs w:val="24"/>
        </w:rPr>
        <w:t>。根据学校信息化建设与管理要求，该平台限校内网访问。提示：推荐使用IE浏览器。</w:t>
      </w:r>
    </w:p>
    <w:p w14:paraId="479AE5AA">
      <w:pPr>
        <w:widowControl/>
        <w:numPr>
          <w:ilvl w:val="0"/>
          <w:numId w:val="2"/>
        </w:num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kern w:val="0"/>
          <w:sz w:val="24"/>
          <w:szCs w:val="24"/>
        </w:rPr>
        <w:t>账号密码：学生账号和初始密码为学号；指导教师、学院管理员账号为人事工号，初始密码为“000000”，登录后可以修改相关信息，必须修改初始密码。</w:t>
      </w:r>
    </w:p>
    <w:p w14:paraId="2954CE1F">
      <w:pPr>
        <w:widowControl/>
        <w:adjustRightInd w:val="0"/>
        <w:snapToGrid w:val="0"/>
        <w:spacing w:line="360" w:lineRule="auto"/>
        <w:jc w:val="center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drawing>
          <wp:inline distT="0" distB="0" distL="114300" distR="114300">
            <wp:extent cx="2264410" cy="2218055"/>
            <wp:effectExtent l="0" t="0" r="2540" b="1079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64410" cy="22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E696E">
      <w:pPr>
        <w:widowControl/>
        <w:adjustRightInd w:val="0"/>
        <w:snapToGrid w:val="0"/>
        <w:spacing w:line="360" w:lineRule="auto"/>
        <w:jc w:val="left"/>
        <w:rPr>
          <w:rFonts w:ascii="宋体" w:hAnsi="宋体" w:cs="宋体"/>
          <w:bCs/>
          <w:sz w:val="24"/>
          <w:szCs w:val="24"/>
        </w:rPr>
      </w:pPr>
      <w:r>
        <w:drawing>
          <wp:inline distT="0" distB="0" distL="0" distR="0">
            <wp:extent cx="5486400" cy="1827530"/>
            <wp:effectExtent l="0" t="0" r="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2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4F18F">
      <w:pPr>
        <w:widowControl/>
        <w:adjustRightInd w:val="0"/>
        <w:snapToGrid w:val="0"/>
        <w:spacing w:line="360" w:lineRule="auto"/>
        <w:jc w:val="left"/>
        <w:rPr>
          <w:rFonts w:ascii="宋体" w:hAnsi="宋体" w:cs="宋体"/>
          <w:bCs/>
          <w:sz w:val="24"/>
          <w:szCs w:val="24"/>
        </w:rPr>
      </w:pPr>
      <w:r>
        <w:drawing>
          <wp:inline distT="0" distB="0" distL="0" distR="0">
            <wp:extent cx="4089400" cy="1403350"/>
            <wp:effectExtent l="0" t="0" r="635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89610" cy="140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2E53B">
      <w:pPr>
        <w:pStyle w:val="2"/>
        <w:ind w:left="420"/>
      </w:pPr>
      <w:bookmarkStart w:id="3" w:name="_Toc28015"/>
      <w:r>
        <w:rPr>
          <w:rFonts w:hint="eastAsia"/>
        </w:rPr>
        <w:t>四、学生操作</w:t>
      </w:r>
      <w:bookmarkEnd w:id="3"/>
    </w:p>
    <w:p w14:paraId="7E2DC0A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（一）项目结题申请</w:t>
      </w:r>
    </w:p>
    <w:p w14:paraId="0765ECB6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1.学生进行结题申请</w:t>
      </w:r>
    </w:p>
    <w:p w14:paraId="06A1B78A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drawing>
          <wp:inline distT="0" distB="0" distL="0" distR="0">
            <wp:extent cx="5486400" cy="156908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8E4D7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2.填写分工信息，保存结题申请</w:t>
      </w:r>
    </w:p>
    <w:p w14:paraId="061E95F7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drawing>
          <wp:inline distT="0" distB="0" distL="0" distR="0">
            <wp:extent cx="5486400" cy="1691640"/>
            <wp:effectExtent l="0" t="0" r="0" b="381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9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307B4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3.上传结题报告，提交结题申请</w:t>
      </w:r>
    </w:p>
    <w:p w14:paraId="2907F2E2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点击初始化学校结题报告书，下载填写，填写完毕后点击“上传文件”上传保存，点击提交结题申请。</w:t>
      </w:r>
    </w:p>
    <w:p w14:paraId="2EA914C3">
      <w:pPr>
        <w:adjustRightInd w:val="0"/>
        <w:snapToGrid w:val="0"/>
        <w:spacing w:line="360" w:lineRule="auto"/>
        <w:jc w:val="left"/>
        <w:rPr>
          <w:rFonts w:ascii="宋体" w:hAnsi="宋体" w:cs="宋体"/>
          <w:color w:val="FF0000"/>
          <w:sz w:val="24"/>
          <w:szCs w:val="24"/>
        </w:rPr>
      </w:pPr>
      <w:r>
        <w:drawing>
          <wp:inline distT="0" distB="0" distL="0" distR="0">
            <wp:extent cx="5486400" cy="1788795"/>
            <wp:effectExtent l="0" t="0" r="0" b="19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8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CC9D4">
      <w:pPr>
        <w:adjustRightInd w:val="0"/>
        <w:snapToGrid w:val="0"/>
        <w:spacing w:line="360" w:lineRule="auto"/>
        <w:jc w:val="left"/>
        <w:rPr>
          <w:rFonts w:ascii="宋体" w:hAnsi="宋体" w:cs="宋体"/>
          <w:color w:val="FF0000"/>
          <w:sz w:val="24"/>
          <w:szCs w:val="24"/>
        </w:rPr>
      </w:pPr>
      <w:r>
        <w:drawing>
          <wp:inline distT="0" distB="0" distL="0" distR="0">
            <wp:extent cx="5486400" cy="356298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A98A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（二）成果管理</w:t>
      </w:r>
    </w:p>
    <w:p w14:paraId="32849FE0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1.成果添加管理（在立项项目管理下成果管理）</w:t>
      </w:r>
    </w:p>
    <w:p w14:paraId="18427E97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drawing>
          <wp:inline distT="0" distB="0" distL="114300" distR="114300">
            <wp:extent cx="5274310" cy="1916430"/>
            <wp:effectExtent l="0" t="0" r="2540" b="762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6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C9EFF2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b/>
          <w:color w:val="FF0000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在进行成果的添加时，除了基本信息的填写，其他需要说明的事项填写至“描述”栏，与成果有关的相关文档以及文件均可通过添加附件上传</w:t>
      </w:r>
      <w:r>
        <w:rPr>
          <w:rFonts w:hint="eastAsia" w:ascii="宋体" w:hAnsi="宋体" w:cs="宋体"/>
          <w:b/>
          <w:color w:val="FF0000"/>
          <w:sz w:val="24"/>
          <w:szCs w:val="24"/>
        </w:rPr>
        <w:t>（建议不要超过200M）：</w:t>
      </w:r>
    </w:p>
    <w:p w14:paraId="31AF9995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drawing>
          <wp:inline distT="0" distB="0" distL="114300" distR="114300">
            <wp:extent cx="5273675" cy="2051050"/>
            <wp:effectExtent l="0" t="0" r="3175" b="635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5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C78EFA5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2.论文</w:t>
      </w:r>
    </w:p>
    <w:p w14:paraId="5001D11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当成果形式为论文形式时，需要填写论文题目、刊物名称、收录级别、发表日期、论文作者、卷期页码、第一作者等信息，论文作者为参与写作论文的所有成员，而第一作者时论文的代表作者；同时，将SCI、EI、中国知网论文、期刊官网等网站的论文检索链接填至“描述”一栏。附件中上传期刊封面、目录、正文及封底扫描件。</w:t>
      </w:r>
    </w:p>
    <w:p w14:paraId="26A2C193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若论文已被期刊录用但暂未正式刊出，请在描述中填写情况，发表日期处填写录用通知落款日期。附件中上传论文原文、录用通知书扫描件。</w:t>
      </w:r>
    </w:p>
    <w:p w14:paraId="0F7CD345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drawing>
          <wp:inline distT="0" distB="0" distL="114300" distR="114300">
            <wp:extent cx="5273675" cy="1326515"/>
            <wp:effectExtent l="0" t="0" r="3175" b="698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26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3CDADFF">
      <w:pPr>
        <w:numPr>
          <w:ilvl w:val="0"/>
          <w:numId w:val="2"/>
        </w:num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著作权</w:t>
      </w:r>
    </w:p>
    <w:p w14:paraId="4B55ADB9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当成果形式为著作权时，需填写名称、著作权号、所有者等信息，附件中上传证书扫描件。</w:t>
      </w:r>
    </w:p>
    <w:p w14:paraId="14DCE35C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755005" cy="2757170"/>
            <wp:effectExtent l="0" t="0" r="17145" b="5080"/>
            <wp:docPr id="3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91283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4.专利</w:t>
      </w:r>
    </w:p>
    <w:p w14:paraId="73952DF0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当成果形式为专利时，需要填写专利名称、专利申请号、申请人、受理单位等信息，附件中上传证书扫描件。</w:t>
      </w:r>
    </w:p>
    <w:p w14:paraId="341859D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drawing>
          <wp:inline distT="0" distB="0" distL="114300" distR="114300">
            <wp:extent cx="5266055" cy="1905635"/>
            <wp:effectExtent l="0" t="0" r="10795" b="18415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05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2DA0F5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5.获奖证书</w:t>
      </w:r>
    </w:p>
    <w:p w14:paraId="2821B9BF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当成果形式为获奖证书时，需要填写竞赛名称、竞赛级别、竞赛等级、获奖日期、参赛人员、获奖作品、颁发单位等信息，附件中上传证书扫描件。</w:t>
      </w:r>
    </w:p>
    <w:p w14:paraId="476467B1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23495</wp:posOffset>
            </wp:positionV>
            <wp:extent cx="5270500" cy="1922780"/>
            <wp:effectExtent l="0" t="0" r="6350" b="1270"/>
            <wp:wrapTopAndBottom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22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</w:rPr>
        <w:t>（三）经费管理</w:t>
      </w:r>
    </w:p>
    <w:p w14:paraId="32BE3D9D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需对该项目的经费使用进行使用记录，添加后“未确认”状态则需要指导教师确认经费使用情况。</w:t>
      </w:r>
    </w:p>
    <w:p w14:paraId="0F99399D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760720" cy="2688590"/>
            <wp:effectExtent l="0" t="0" r="11430" b="16510"/>
            <wp:docPr id="3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6FC70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（四）项目变更申请</w:t>
      </w:r>
    </w:p>
    <w:p w14:paraId="539C0E2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如果项目有所变更，可以提交项目变更申请，指导教师、学院、学校管理部门进行审核。项目变更分为：内容变更、成员变更、指导老师变更、项目延期、项目终止。</w:t>
      </w:r>
    </w:p>
    <w:p w14:paraId="05D25847">
      <w:pPr>
        <w:adjustRightInd w:val="0"/>
        <w:snapToGrid w:val="0"/>
        <w:spacing w:line="360" w:lineRule="auto"/>
        <w:jc w:val="left"/>
        <w:rPr>
          <w:color w:val="FF0000"/>
          <w:sz w:val="24"/>
          <w:szCs w:val="24"/>
        </w:rPr>
      </w:pPr>
      <w:r>
        <w:drawing>
          <wp:inline distT="0" distB="0" distL="0" distR="0">
            <wp:extent cx="5486400" cy="1329690"/>
            <wp:effectExtent l="0" t="0" r="0" b="381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C47FD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drawing>
          <wp:inline distT="0" distB="0" distL="0" distR="0">
            <wp:extent cx="5486400" cy="208407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A9B9F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drawing>
          <wp:inline distT="0" distB="0" distL="0" distR="0">
            <wp:extent cx="5486400" cy="2200275"/>
            <wp:effectExtent l="0" t="0" r="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A9347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</w:p>
    <w:p w14:paraId="72ABD50A">
      <w:pPr>
        <w:pStyle w:val="2"/>
        <w:ind w:left="420"/>
      </w:pPr>
      <w:bookmarkStart w:id="4" w:name="_Toc14697"/>
      <w:r>
        <w:rPr>
          <w:rFonts w:hint="eastAsia"/>
        </w:rPr>
        <w:t>五、指导教师操作</w:t>
      </w:r>
      <w:bookmarkEnd w:id="4"/>
    </w:p>
    <w:p w14:paraId="19196606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（一）项目结题审核</w:t>
      </w:r>
    </w:p>
    <w:p w14:paraId="182B848B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学生提交项目结题申请后，指导教师可以在“任务处理--创新项目结题”中查看目前待审核的任务。点击项目名称可看到项目信息。点击审核之后，指导教师可以看到项目的具体信息并且进行部分信息的修改，根据详细信息来决定是通过或者是驳回，同时填写具体审核意见。</w:t>
      </w:r>
    </w:p>
    <w:p w14:paraId="1B19C1AD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759450" cy="1729740"/>
            <wp:effectExtent l="0" t="0" r="12700" b="3810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CCE2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748020" cy="1587500"/>
            <wp:effectExtent l="0" t="0" r="5080" b="12700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A2618">
      <w:pPr>
        <w:adjustRightInd w:val="0"/>
        <w:snapToGrid w:val="0"/>
        <w:spacing w:line="360" w:lineRule="auto"/>
        <w:ind w:firstLine="480" w:firstLineChars="200"/>
        <w:jc w:val="left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（二）成果管理、经费管理</w:t>
      </w:r>
    </w:p>
    <w:p w14:paraId="059F152D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指导教师可查看学生项目的项目成果及经费，</w:t>
      </w:r>
      <w:r>
        <w:rPr>
          <w:rFonts w:hint="eastAsia"/>
          <w:sz w:val="24"/>
          <w:szCs w:val="24"/>
          <w:u w:val="single"/>
        </w:rPr>
        <w:t>学生提交的经费支出明细需要确认</w:t>
      </w:r>
      <w:r>
        <w:rPr>
          <w:rFonts w:hint="eastAsia"/>
          <w:sz w:val="24"/>
          <w:szCs w:val="24"/>
        </w:rPr>
        <w:t>。</w:t>
      </w:r>
    </w:p>
    <w:p w14:paraId="6C81954C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750560" cy="2193290"/>
            <wp:effectExtent l="0" t="0" r="2540" b="16510"/>
            <wp:docPr id="4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219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FA867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（三）项目变更审核</w:t>
      </w:r>
    </w:p>
    <w:p w14:paraId="7CE6687A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指导教师可查看学生项目的变更记录，点击“查看变更记录”会展现项目变更信息，审核项目变更。</w:t>
      </w:r>
    </w:p>
    <w:p w14:paraId="43C5A733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114300" distR="114300">
            <wp:extent cx="5757545" cy="1168400"/>
            <wp:effectExtent l="0" t="0" r="14605" b="12700"/>
            <wp:docPr id="4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184A1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</w:p>
    <w:p w14:paraId="7A28ABD3">
      <w:pPr>
        <w:pStyle w:val="2"/>
        <w:ind w:left="420"/>
      </w:pPr>
      <w:bookmarkStart w:id="5" w:name="_Toc4335"/>
      <w:r>
        <w:rPr>
          <w:rFonts w:hint="eastAsia"/>
        </w:rPr>
        <w:t>六、学院管理员操作</w:t>
      </w:r>
      <w:bookmarkEnd w:id="5"/>
    </w:p>
    <w:p w14:paraId="3386FA06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</w:p>
    <w:p w14:paraId="147AAAA5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学院管理人员在未进行项目指导时，无需操作“指导教师业务”菜单下的任务。</w:t>
      </w:r>
    </w:p>
    <w:p w14:paraId="61502FA7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（一）项目结题审核</w:t>
      </w:r>
    </w:p>
    <w:p w14:paraId="4D89A27A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学生申请结题的项目通过指导教师审核后，下个流程为学院审核。在任务审核--创新项目结题菜单下进行操作。</w:t>
      </w:r>
    </w:p>
    <w:p w14:paraId="0B2B0A1D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</w:p>
    <w:p w14:paraId="27EF0642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5349875</wp:posOffset>
                </wp:positionH>
                <wp:positionV relativeFrom="paragraph">
                  <wp:posOffset>701675</wp:posOffset>
                </wp:positionV>
                <wp:extent cx="327660" cy="317500"/>
                <wp:effectExtent l="13970" t="1270" r="26670" b="2413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263640" y="1920875"/>
                          <a:ext cx="327660" cy="317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3EAFB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1.25pt;margin-top:55.25pt;height:25pt;width:25.8pt;z-index:251660288;mso-width-relative:page;mso-height-relative:page;" filled="f" stroked="t" coordsize="21600,21600" o:gfxdata="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VgNRJ2QAAAAsBAAAPAAAAAAAAAAEAIAAAACIAAABkcnMvZG93bnJldi54bWxQSwEC&#10;FAAUAAAACACHTuJAHsQ0vGUCAAC0BAAADgAAAAAAAAABACAAAAAoAQAAZHJzL2Uyb0RvYy54bWxQ&#10;SwUGAAAAAAYABgBZAQAA/wUAAAAA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 w14:paraId="7C3EAFB0"/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w:drawing>
          <wp:inline distT="0" distB="0" distL="114300" distR="114300">
            <wp:extent cx="5754370" cy="1252220"/>
            <wp:effectExtent l="0" t="0" r="11430" b="5080"/>
            <wp:docPr id="4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9"/>
                    <pic:cNvPicPr>
                      <a:picLocks noChangeAspect="1"/>
                    </pic:cNvPicPr>
                  </pic:nvPicPr>
                  <pic:blipFill>
                    <a:blip r:embed="rId26"/>
                    <a:srcRect t="1499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6D0D6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项目的申请、中期检查、变更、结题等流程操作</w:t>
      </w:r>
      <w:r>
        <w:rPr>
          <w:rFonts w:hint="eastAsia"/>
          <w:sz w:val="24"/>
          <w:szCs w:val="24"/>
        </w:rPr>
        <w:t>基本相同，现以项目申请审核的截图为例介绍操作，项目结题审核操作参考以下内容。）</w:t>
      </w:r>
    </w:p>
    <w:p w14:paraId="0B18DAD7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点击审核按钮可以看到该项目的详细信息以及提交的文档，并可以填写审核意见，在审核完详细信息并且填入审核意见等信息后，可以选择批准、驳回到学生、驳回到指导教师等操作，如图：</w:t>
      </w:r>
      <w:r>
        <w:rPr>
          <w:rFonts w:hint="eastAsia"/>
          <w:sz w:val="24"/>
          <w:szCs w:val="24"/>
        </w:rPr>
        <w:drawing>
          <wp:inline distT="0" distB="0" distL="114300" distR="114300">
            <wp:extent cx="5266055" cy="2192655"/>
            <wp:effectExtent l="0" t="0" r="4445" b="38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rcRect t="-1475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92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9F53D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5268595" cy="2125345"/>
            <wp:effectExtent l="0" t="0" r="1905" b="825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25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05B54F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（二）添加学院专家评价</w:t>
      </w:r>
    </w:p>
    <w:p w14:paraId="15305631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在审核过程中，根据需要可以添加评价专家，以便查看评价专家对项目的评价，评价专家评价结束后学院可以继续审核，如图：</w:t>
      </w:r>
    </w:p>
    <w:p w14:paraId="4A9F3E00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760720" cy="1536700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721D2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5262245" cy="604520"/>
            <wp:effectExtent l="0" t="0" r="8255" b="508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604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F1954D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查看学生提交的文档，审阅完成后根据情况给予批准或驳回（驳回到学生、驳回到指导教师）。如图：</w:t>
      </w:r>
    </w:p>
    <w:p w14:paraId="6EF72B4B">
      <w:pPr>
        <w:adjustRightInd w:val="0"/>
        <w:snapToGrid w:val="0"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114300" distR="114300">
            <wp:extent cx="5266055" cy="2010410"/>
            <wp:effectExtent l="0" t="0" r="4445" b="889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10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2D4EC1">
      <w:pPr>
        <w:adjustRightInd w:val="0"/>
        <w:snapToGrid w:val="0"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（三）师生密码重置</w:t>
      </w:r>
    </w:p>
    <w:p w14:paraId="6B049837">
      <w:pPr>
        <w:adjustRightInd w:val="0"/>
        <w:snapToGrid w:val="0"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如果师生忘记密码，教秘有权限重置密码，重置后的密码均为000000</w:t>
      </w:r>
    </w:p>
    <w:p w14:paraId="7FCC4084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drawing>
          <wp:inline distT="0" distB="0" distL="0" distR="0">
            <wp:extent cx="5486400" cy="19507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A9E15">
      <w:pPr>
        <w:pStyle w:val="2"/>
        <w:ind w:left="420"/>
      </w:pPr>
      <w:bookmarkStart w:id="6" w:name="_Toc13612"/>
      <w:r>
        <w:rPr>
          <w:rFonts w:hint="eastAsia"/>
        </w:rPr>
        <w:t>七、专家操作</w:t>
      </w:r>
      <w:bookmarkEnd w:id="6"/>
    </w:p>
    <w:p w14:paraId="56C577A2">
      <w:pPr>
        <w:pStyle w:val="13"/>
        <w:jc w:val="left"/>
        <w:rPr>
          <w:rFonts w:cs="宋体"/>
        </w:rPr>
      </w:pPr>
      <w:r>
        <w:rPr>
          <w:rFonts w:hint="eastAsia" w:cs="宋体"/>
        </w:rPr>
        <w:t>如果学院指派了专家进行结题评价，则指派的专家可以在此进行项目评价和评分：</w:t>
      </w:r>
    </w:p>
    <w:p w14:paraId="2BBF3A0A">
      <w:pPr>
        <w:pStyle w:val="13"/>
        <w:ind w:firstLine="0" w:firstLineChars="0"/>
        <w:jc w:val="left"/>
      </w:pPr>
      <w:r>
        <w:drawing>
          <wp:inline distT="0" distB="0" distL="114300" distR="114300">
            <wp:extent cx="5264785" cy="2171700"/>
            <wp:effectExtent l="0" t="0" r="5715" b="0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EF482D">
      <w:pPr>
        <w:pStyle w:val="13"/>
        <w:ind w:firstLine="0" w:firstLineChars="0"/>
        <w:jc w:val="left"/>
        <w:rPr>
          <w:rFonts w:cs="宋体"/>
        </w:rPr>
      </w:pPr>
      <w:r>
        <w:drawing>
          <wp:inline distT="0" distB="0" distL="114300" distR="114300">
            <wp:extent cx="5264785" cy="2156460"/>
            <wp:effectExtent l="0" t="0" r="5715" b="2540"/>
            <wp:docPr id="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56A309">
      <w:pPr>
        <w:adjustRightInd w:val="0"/>
        <w:snapToGrid w:val="0"/>
        <w:spacing w:line="360" w:lineRule="auto"/>
        <w:ind w:firstLine="480" w:firstLineChars="200"/>
        <w:jc w:val="left"/>
        <w:rPr>
          <w:sz w:val="24"/>
          <w:szCs w:val="24"/>
        </w:rPr>
      </w:pPr>
    </w:p>
    <w:sectPr>
      <w:pgSz w:w="11906" w:h="16838"/>
      <w:pgMar w:top="1417" w:right="1417" w:bottom="141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5C9EDD9"/>
    <w:multiLevelType w:val="singleLevel"/>
    <w:tmpl w:val="25C9EDD9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5AEF4604"/>
    <w:multiLevelType w:val="singleLevel"/>
    <w:tmpl w:val="5AEF4604"/>
    <w:lvl w:ilvl="0" w:tentative="0">
      <w:start w:val="2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5E8024F"/>
    <w:rsid w:val="000E5B9E"/>
    <w:rsid w:val="0022177F"/>
    <w:rsid w:val="002C3780"/>
    <w:rsid w:val="00340994"/>
    <w:rsid w:val="003471B7"/>
    <w:rsid w:val="004B7F79"/>
    <w:rsid w:val="00545DE3"/>
    <w:rsid w:val="0061176D"/>
    <w:rsid w:val="006721AD"/>
    <w:rsid w:val="007D0A32"/>
    <w:rsid w:val="00843538"/>
    <w:rsid w:val="008C7271"/>
    <w:rsid w:val="00A57B80"/>
    <w:rsid w:val="00BF5DB1"/>
    <w:rsid w:val="00CB5E91"/>
    <w:rsid w:val="00CC6454"/>
    <w:rsid w:val="00DD2F3F"/>
    <w:rsid w:val="00F81DCB"/>
    <w:rsid w:val="00FF491F"/>
    <w:rsid w:val="02057BC9"/>
    <w:rsid w:val="02BD4021"/>
    <w:rsid w:val="049C7A5F"/>
    <w:rsid w:val="049D50BF"/>
    <w:rsid w:val="07F21B2E"/>
    <w:rsid w:val="0ABB64ED"/>
    <w:rsid w:val="0AD133D2"/>
    <w:rsid w:val="0C867CFD"/>
    <w:rsid w:val="0D4C093D"/>
    <w:rsid w:val="11762D0D"/>
    <w:rsid w:val="150B48F7"/>
    <w:rsid w:val="15E8024F"/>
    <w:rsid w:val="17105E12"/>
    <w:rsid w:val="19DE6D54"/>
    <w:rsid w:val="1A8E1B7D"/>
    <w:rsid w:val="1DB777EF"/>
    <w:rsid w:val="1E9D26D5"/>
    <w:rsid w:val="1FCD10AF"/>
    <w:rsid w:val="28A2328D"/>
    <w:rsid w:val="28AD32EB"/>
    <w:rsid w:val="3BE4526B"/>
    <w:rsid w:val="3FC66F00"/>
    <w:rsid w:val="411D75E2"/>
    <w:rsid w:val="420439F0"/>
    <w:rsid w:val="42147975"/>
    <w:rsid w:val="458E7C49"/>
    <w:rsid w:val="467A3430"/>
    <w:rsid w:val="4A1917B6"/>
    <w:rsid w:val="4A8B5AD1"/>
    <w:rsid w:val="4AD712A5"/>
    <w:rsid w:val="4B7559E7"/>
    <w:rsid w:val="4C0D2B48"/>
    <w:rsid w:val="4DE42E4E"/>
    <w:rsid w:val="4DF53334"/>
    <w:rsid w:val="5249512A"/>
    <w:rsid w:val="546866B7"/>
    <w:rsid w:val="553576BF"/>
    <w:rsid w:val="559206C2"/>
    <w:rsid w:val="59AB62AB"/>
    <w:rsid w:val="5A3E559E"/>
    <w:rsid w:val="5A8F3C36"/>
    <w:rsid w:val="5BB4204C"/>
    <w:rsid w:val="5EF855A2"/>
    <w:rsid w:val="61613AFE"/>
    <w:rsid w:val="630D191E"/>
    <w:rsid w:val="63726D56"/>
    <w:rsid w:val="645C1FA7"/>
    <w:rsid w:val="68CE0BF1"/>
    <w:rsid w:val="6AB11778"/>
    <w:rsid w:val="6BA61026"/>
    <w:rsid w:val="702F7D75"/>
    <w:rsid w:val="766C7060"/>
    <w:rsid w:val="78B6270F"/>
    <w:rsid w:val="7B3F0AF0"/>
    <w:rsid w:val="7C220F17"/>
    <w:rsid w:val="7EB22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120" w:after="120" w:line="576" w:lineRule="auto"/>
      <w:ind w:left="200" w:leftChars="200"/>
      <w:outlineLvl w:val="0"/>
    </w:pPr>
    <w:rPr>
      <w:b/>
      <w:kern w:val="44"/>
      <w:sz w:val="24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unhideWhenUsed/>
    <w:qFormat/>
    <w:uiPriority w:val="0"/>
    <w:pPr>
      <w:keepNext/>
      <w:keepLines/>
      <w:spacing w:before="280" w:after="290" w:line="376" w:lineRule="auto"/>
      <w:outlineLvl w:val="3"/>
    </w:pPr>
    <w:rPr>
      <w:rFonts w:ascii="Cambria" w:hAnsi="Cambria" w:cs="Cambria"/>
      <w:b/>
      <w:bCs/>
      <w:sz w:val="28"/>
      <w:szCs w:val="28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4"/>
    <w:qFormat/>
    <w:uiPriority w:val="0"/>
    <w:rPr>
      <w:sz w:val="18"/>
      <w:szCs w:val="18"/>
    </w:rPr>
  </w:style>
  <w:style w:type="paragraph" w:styleId="6">
    <w:name w:val="footer"/>
    <w:basedOn w:val="1"/>
    <w:link w:val="16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qFormat/>
    <w:uiPriority w:val="0"/>
  </w:style>
  <w:style w:type="character" w:styleId="11">
    <w:name w:val="Hyperlink"/>
    <w:basedOn w:val="10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paragraph" w:customStyle="1" w:styleId="12">
    <w:name w:val="无间隔1"/>
    <w:basedOn w:val="1"/>
    <w:qFormat/>
    <w:uiPriority w:val="1"/>
    <w:pPr>
      <w:widowControl/>
      <w:jc w:val="left"/>
    </w:pPr>
    <w:rPr>
      <w:rFonts w:cs="Times New Roman"/>
      <w:kern w:val="0"/>
      <w:sz w:val="24"/>
      <w:szCs w:val="32"/>
    </w:rPr>
  </w:style>
  <w:style w:type="paragraph" w:customStyle="1" w:styleId="13">
    <w:name w:val="列表段落1"/>
    <w:basedOn w:val="1"/>
    <w:qFormat/>
    <w:uiPriority w:val="0"/>
    <w:pPr>
      <w:ind w:firstLine="420" w:firstLineChars="200"/>
    </w:pPr>
  </w:style>
  <w:style w:type="character" w:customStyle="1" w:styleId="14">
    <w:name w:val="批注框文本 Char"/>
    <w:basedOn w:val="10"/>
    <w:link w:val="5"/>
    <w:qFormat/>
    <w:uiPriority w:val="0"/>
    <w:rPr>
      <w:rFonts w:ascii="Calibri" w:hAnsi="Calibri" w:eastAsia="宋体" w:cs="Calibri"/>
      <w:kern w:val="2"/>
      <w:sz w:val="18"/>
      <w:szCs w:val="18"/>
    </w:rPr>
  </w:style>
  <w:style w:type="character" w:customStyle="1" w:styleId="15">
    <w:name w:val="页眉 Char"/>
    <w:basedOn w:val="10"/>
    <w:link w:val="7"/>
    <w:qFormat/>
    <w:uiPriority w:val="0"/>
    <w:rPr>
      <w:rFonts w:ascii="Calibri" w:hAnsi="Calibri" w:eastAsia="宋体" w:cs="Calibri"/>
      <w:kern w:val="2"/>
      <w:sz w:val="18"/>
      <w:szCs w:val="18"/>
    </w:rPr>
  </w:style>
  <w:style w:type="character" w:customStyle="1" w:styleId="16">
    <w:name w:val="页脚 Char"/>
    <w:basedOn w:val="10"/>
    <w:link w:val="6"/>
    <w:qFormat/>
    <w:uiPriority w:val="0"/>
    <w:rPr>
      <w:rFonts w:ascii="Calibri" w:hAnsi="Calibri" w:eastAsia="宋体" w:cs="Calibr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1788</Words>
  <Characters>1863</Characters>
  <Lines>17</Lines>
  <Paragraphs>4</Paragraphs>
  <TotalTime>83</TotalTime>
  <ScaleCrop>false</ScaleCrop>
  <LinksUpToDate>false</LinksUpToDate>
  <CharactersWithSpaces>1885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2017-03-31T06:14:00Z</dcterms:created>
  <dc:creator>Administrator</dc:creator>
  <cp:lastModifiedBy>Blink.</cp:lastModifiedBy>
  <dcterms:modified xsi:type="dcterms:W3CDTF">2025-04-18T02:07:12Z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eyJoZGlkIjoiYzQ5OGVmZWEzYzAyNzkyNzQ0NWEzM2VkNjRjMjM0MTciLCJ1c2VySWQiOiIxMTA0OTYyOTIwIn0=</vt:lpwstr>
  </property>
  <property fmtid="{D5CDD505-2E9C-101B-9397-08002B2CF9AE}" pid="4" name="ICV">
    <vt:lpwstr>4C91D2CF4BB74727BA8562E641605AD4_12</vt:lpwstr>
  </property>
</Properties>
</file>