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docProps/app.xml" ContentType="application/vnd.openxmlformats-officedocument.extended-properti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docProps/core.xml" ContentType="application/vnd.openxmlformats-package.core-properties+xml"/>
  <Override PartName="/word/styles.xml" ContentType="application/vnd.openxmlformats-officedocument.wordprocessingml.styles+xml"/>
</Types>
</file>

<file path=_rels/.rels><?xml version="1.0" encoding="UTF-8" standalone="yes"?><Relationships xmlns="http://schemas.openxmlformats.org/package/2006/relationships"><Relationship Id="rId2" Type="http://schemas.openxmlformats.org/officeDocument/2006/relationships/extended-properties" Target="docProps/app.xml" /><Relationship Id="rId0" Type="http://schemas.openxmlformats.org/officeDocument/2006/relationships/officeDocument" Target="word/document.xml" /><Relationship Id="rId1" Type="http://schemas.openxmlformats.org/package/2006/relationships/metadata/core-properties" Target="docProps/core.xml" /></Relationships>
</file>

<file path=word/document.xml><?xml version="1.0" encoding="utf-8"?>
<w:document xmlns:w14="http://schemas.microsoft.com/office/word/2010/wordml" xmlns:w="http://schemas.openxmlformats.org/wordprocessingml/2006/main" xmlns:a="http://schemas.openxmlformats.org/drawingml/2006/main" xmlns:r="http://schemas.openxmlformats.org/officeDocument/2006/relationships" xmlns:wp="http://schemas.openxmlformats.org/drawingml/2006/wordprocessingDrawing" xmlns:wps="http://schemas.microsoft.com/office/word/2010/wordprocessingShape" xmlns:pic="http://schemas.openxmlformats.org/drawingml/2006/picture">
  <w:body>
    <w:p>
      <w:pPr>
        <w:spacing w:after="240" w:line="600" w:lineRule="exact"/>
        <w:ind w:firstLine="720" w:firstLineChars="200"/>
        <w:jc w:val="center"/>
        <w:rPr>
          <w:rFonts w:ascii="宋体" w:hAnsi="宋体"/>
          <w:b/>
          <w:sz w:val="36"/>
          <w:szCs w:val="36"/>
        </w:rPr>
      </w:pPr>
      <w:r>
        <w:rPr>
          <w:rFonts w:hint="eastAsia" w:ascii="宋体" w:hAnsi="宋体"/>
          <w:b/>
          <w:sz w:val="36"/>
          <w:szCs w:val="36"/>
        </w:rPr>
        <w:t>填报</w:t>
      </w:r>
      <w:r>
        <w:rPr>
          <w:rFonts w:hint="eastAsia" w:ascii="宋体" w:hAnsi="宋体"/>
          <w:b/>
          <w:sz w:val="36"/>
          <w:szCs w:val="36"/>
          <w:lang w:val="en-US" w:eastAsia="zh-CN"/>
        </w:rPr>
        <w:t>说明</w:t>
      </w:r>
    </w:p>
    <w:tbl>
      <w:tblPr>
        <w:tblStyle w:val="000005"/>
        <w:tblW w:w="0" w:type="auto"/>
        <w:tblInd w:w="-5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079"/>
        <w:gridCol w:w="1086"/>
        <w:gridCol w:w="7975"/>
        <w:gridCol w:w="4334"/>
      </w:tblGrid>
      <w:tr>
        <w:trPr>
          <w:trHeight w:val="285" w:hRule="atLeast"/>
        </w:trPr>
        <w:tc>
          <w:tcPr>
            <w:tcW w:w="2079" w:type="dxa"/>
            <w:shd w:val="clear" w:color="auto" w:fill="auto"/>
            <w:vAlign w:val="center"/>
          </w:tcPr>
          <w:p>
            <w:pPr>
              <w:jc w:val="center"/>
              <w:rPr>
                <w:rFonts w:ascii="宋体" w:hAnsi="宋体" w:cs="仿宋_GB2312"/>
                <w:b/>
                <w:sz w:val="24"/>
              </w:rPr>
            </w:pPr>
            <w:r>
              <w:rPr>
                <w:rFonts w:hint="eastAsia" w:ascii="宋体" w:hAnsi="宋体" w:cs="仿宋_GB2312"/>
                <w:b/>
                <w:sz w:val="24"/>
              </w:rPr>
              <w:t>表格名称</w:t>
            </w:r>
          </w:p>
        </w:tc>
        <w:tc>
          <w:tcPr>
            <w:tcW w:w="1086" w:type="dxa"/>
            <w:shd w:val="clear" w:color="auto" w:fill="auto"/>
            <w:vAlign w:val="center"/>
          </w:tcPr>
          <w:p>
            <w:pPr>
              <w:jc w:val="center"/>
              <w:rPr>
                <w:rFonts w:ascii="宋体" w:hAnsi="宋体" w:cs="仿宋_GB2312"/>
                <w:b/>
                <w:sz w:val="24"/>
              </w:rPr>
            </w:pPr>
            <w:r>
              <w:rPr>
                <w:rFonts w:hint="eastAsia" w:ascii="宋体" w:hAnsi="宋体" w:cs="仿宋_GB2312"/>
                <w:b/>
                <w:sz w:val="24"/>
              </w:rPr>
              <w:t>部门</w:t>
            </w:r>
          </w:p>
          <w:p>
            <w:pPr>
              <w:jc w:val="center"/>
              <w:rPr>
                <w:rFonts w:ascii="宋体" w:hAnsi="宋体" w:cs="仿宋_GB2312"/>
                <w:b/>
                <w:sz w:val="24"/>
              </w:rPr>
            </w:pPr>
            <w:r>
              <w:rPr>
                <w:rFonts w:hint="eastAsia" w:ascii="宋体" w:hAnsi="宋体" w:cs="仿宋_GB2312"/>
                <w:b/>
                <w:sz w:val="24"/>
              </w:rPr>
              <w:t>分工</w:t>
            </w:r>
          </w:p>
        </w:tc>
        <w:tc>
          <w:tcPr>
            <w:tcW w:w="7975" w:type="dxa"/>
            <w:shd w:val="clear" w:color="auto" w:fill="auto"/>
            <w:vAlign w:val="center"/>
          </w:tcPr>
          <w:p>
            <w:pPr>
              <w:jc w:val="center"/>
              <w:rPr>
                <w:rFonts w:ascii="宋体" w:hAnsi="宋体" w:cs="仿宋_GB2312"/>
                <w:b/>
                <w:sz w:val="24"/>
              </w:rPr>
            </w:pPr>
            <w:r>
              <w:rPr>
                <w:rFonts w:hint="eastAsia" w:ascii="宋体" w:hAnsi="宋体" w:cs="仿宋_GB2312"/>
                <w:b/>
                <w:sz w:val="24"/>
              </w:rPr>
              <w:t>表格内容（填写范例）</w:t>
            </w:r>
          </w:p>
        </w:tc>
        <w:tc>
          <w:tcPr>
            <w:tcW w:w="4334" w:type="dxa"/>
            <w:shd w:val="clear" w:color="auto" w:fill="auto"/>
            <w:vAlign w:val="center"/>
          </w:tcPr>
          <w:p>
            <w:pPr>
              <w:jc w:val="center"/>
              <w:rPr>
                <w:rFonts w:ascii="宋体" w:hAnsi="宋体" w:cs="仿宋_GB2312"/>
                <w:b/>
                <w:sz w:val="24"/>
              </w:rPr>
            </w:pPr>
            <w:r>
              <w:rPr>
                <w:rFonts w:ascii="宋体" w:hAnsi="宋体" w:cs="仿宋_GB2312"/>
                <w:b/>
                <w:sz w:val="24"/>
              </w:rPr>
              <w:t>填表</w:t>
            </w:r>
            <w:r>
              <w:rPr>
                <w:rFonts w:hint="eastAsia" w:ascii="宋体" w:hAnsi="宋体" w:cs="仿宋_GB2312"/>
                <w:b/>
                <w:sz w:val="24"/>
              </w:rPr>
              <w:t>指标</w:t>
            </w:r>
            <w:r>
              <w:rPr>
                <w:rFonts w:ascii="宋体" w:hAnsi="宋体" w:cs="仿宋_GB2312"/>
                <w:b/>
                <w:sz w:val="24"/>
              </w:rPr>
              <w:t>说明</w:t>
            </w:r>
          </w:p>
        </w:tc>
      </w:tr>
      <w:tr>
        <w:trPr>
          <w:trHeight w:val="285" w:hRule="atLeast"/>
        </w:trPr>
        <w:tc>
          <w:tcPr>
            <w:tcW w:w="15474" w:type="dxa"/>
            <w:gridSpan w:val="4"/>
            <w:shd w:val="clear" w:color="auto" w:fill="auto"/>
            <w:vAlign w:val="center"/>
          </w:tcPr>
          <w:p>
            <w:pPr>
              <w:rPr>
                <w:rFonts w:ascii="宋体" w:hAnsi="宋体" w:cs="仿宋_GB2312"/>
                <w:b/>
                <w:sz w:val="24"/>
              </w:rPr>
            </w:pPr>
            <w:r>
              <w:rPr>
                <w:rFonts w:hint="eastAsia" w:ascii="宋体" w:hAnsi="宋体" w:cs="仿宋_GB2312"/>
                <w:b/>
                <w:sz w:val="24"/>
              </w:rPr>
              <w:t>1.学校基本信息</w:t>
            </w:r>
          </w:p>
        </w:tc>
      </w:tr>
      <w:bookmarkStart w:id="1" w:name="RANGE!A15"/>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表1-7-1 本科实验场所（时点）</w:t>
            </w:r>
            <w:bookmarkEnd w:id="1"/>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实践科</w:t>
            </w:r>
          </w:p>
        </w:tc>
        <w:tc>
          <w:tcPr>
            <w:tcW w:w="7975" w:type="dxa"/>
            <w:shd w:val="clear" w:color="auto" w:fill="auto"/>
            <w:vAlign w:val="center"/>
          </w:tcPr>
          <w:p>
            <w:pPr>
              <w:widowControl/>
              <w:rPr>
                <w:rFonts w:ascii="宋体" w:hAnsi="宋体" w:cstheme="minorBidi"/>
                <w:szCs w:val="22"/>
              </w:rPr>
            </w:pPr>
            <w:r>
              <w:rPr>
                <w:rFonts w:ascii="宋体" w:hAnsi="宋体"/>
              </w:rPr>
              <w:drawing>
                <wp:inline distT="0" distB="0" distL="0" distR="0">
                  <wp:extent cx="5039995" cy="516255"/>
                  <wp:effectExtent l="0" t="0" r="0" b="0"/>
                  <wp:docPr id="2" name="图片 4"/>
                  <wp:cNvGraphicFramePr>
                    <a:graphicFrameLocks noChangeAspect="true"/>
                  </wp:cNvGraphicFramePr>
                  <a:graphic>
                    <a:graphicData uri="http://schemas.openxmlformats.org/drawingml/2006/picture">
                      <pic:pic>
                        <pic:nvPicPr>
                          <pic:cNvPr id="3" name="图片 4"/>
                          <pic:cNvPicPr>
                            <a:picLocks noChangeAspect="true"/>
                          </pic:cNvPicPr>
                        </pic:nvPicPr>
                        <pic:blipFill>
                          <a:blip r:embed="rId5"/>
                          <a:stretch>
                            <a:fillRect/>
                          </a:stretch>
                        </pic:blipFill>
                        <pic:spPr>
                          <a:xfrm>
                            <a:off x="0" y="0"/>
                            <a:ext cx="5040000" cy="516629"/>
                          </a:xfrm>
                          <a:prstGeom prst="rect">
                            <a:avLst/>
                          </a:prstGeom>
                        </pic:spPr>
                      </pic:pic>
                    </a:graphicData>
                  </a:graphic>
                </wp:inline>
              </w:drawing>
            </w:r>
          </w:p>
        </w:tc>
        <w:tc>
          <w:tcPr>
            <w:tcW w:w="4334" w:type="dxa"/>
            <w:shd w:val="clear" w:color="auto" w:fill="auto"/>
            <w:vAlign w:val="center"/>
          </w:tcPr>
          <w:p>
            <w:pPr>
              <w:adjustRightInd w:val="false"/>
              <w:snapToGrid w:val="false"/>
              <w:rPr>
                <w:rFonts w:ascii="宋体" w:hAnsi="宋体"/>
                <w:color w:val="000000"/>
                <w:szCs w:val="21"/>
              </w:rPr>
            </w:pPr>
            <w:r>
              <w:rPr>
                <w:rFonts w:ascii="宋体" w:hAnsi="宋体"/>
                <w:b/>
                <w:color w:val="000000"/>
                <w:szCs w:val="21"/>
              </w:rPr>
              <w:t>实验场所名称</w:t>
            </w:r>
            <w:r>
              <w:rPr>
                <w:rFonts w:ascii="宋体" w:hAnsi="宋体"/>
                <w:color w:val="000000"/>
                <w:szCs w:val="21"/>
              </w:rPr>
              <w:t>：指学校</w:t>
            </w:r>
            <w:r>
              <w:rPr>
                <w:rFonts w:ascii="宋体" w:hAnsi="宋体"/>
                <w:b/>
                <w:color w:val="000000"/>
                <w:szCs w:val="21"/>
              </w:rPr>
              <w:t>本科</w:t>
            </w:r>
            <w:r>
              <w:rPr>
                <w:rFonts w:ascii="宋体" w:hAnsi="宋体"/>
                <w:color w:val="000000"/>
                <w:szCs w:val="21"/>
              </w:rPr>
              <w:t>实验场所全称。（实验教学中心需拆分为单个实验室</w:t>
            </w:r>
            <w:r>
              <w:rPr>
                <w:rFonts w:hint="eastAsia" w:ascii="宋体" w:hAnsi="宋体"/>
                <w:color w:val="000000"/>
                <w:szCs w:val="21"/>
              </w:rPr>
              <w:t>（实验房间）</w:t>
            </w:r>
            <w:r>
              <w:rPr>
                <w:rFonts w:ascii="宋体" w:hAnsi="宋体"/>
                <w:color w:val="000000"/>
                <w:szCs w:val="21"/>
              </w:rPr>
              <w:t>填报）</w:t>
            </w:r>
          </w:p>
          <w:p>
            <w:pPr>
              <w:pBdr>
                <w:bottom/>
              </w:pBdr>
              <w:adjustRightInd w:val="false"/>
              <w:snapToGrid w:val="false"/>
              <w:rPr>
                <w:rFonts w:ascii="宋体" w:hAnsi="宋体"/>
                <w:color w:val="000000"/>
                <w:szCs w:val="21"/>
              </w:rPr>
            </w:pPr>
            <w:r>
              <w:rPr>
                <w:rFonts w:ascii="宋体" w:hAnsi="宋体"/>
                <w:b/>
                <w:color w:val="000000"/>
                <w:szCs w:val="21"/>
              </w:rPr>
              <w:t>实验场所代码</w:t>
            </w:r>
            <w:r>
              <w:rPr>
                <w:rFonts w:ascii="宋体" w:hAnsi="宋体"/>
                <w:color w:val="000000"/>
                <w:szCs w:val="21"/>
              </w:rPr>
              <w:t>：指学校对实验场所编码。</w:t>
            </w:r>
            <w:r>
              <w:rPr>
                <w:rFonts w:ascii="宋体" w:hAnsi="宋体"/>
                <w:color w:val="000000"/>
                <w:szCs w:val="21"/>
              </w:rPr>
              <w:t>实验场所代码不重复</w:t>
            </w:r>
          </w:p>
          <w:p>
            <w:pPr>
              <w:adjustRightInd w:val="false"/>
              <w:snapToGrid w:val="false"/>
              <w:rPr>
                <w:rFonts w:ascii="宋体" w:hAnsi="宋体"/>
                <w:color w:val="000000"/>
                <w:szCs w:val="21"/>
              </w:rPr>
            </w:pPr>
            <w:r>
              <w:rPr>
                <w:rFonts w:ascii="宋体" w:hAnsi="宋体"/>
                <w:b/>
                <w:color w:val="000000"/>
                <w:szCs w:val="21"/>
              </w:rPr>
              <w:t>性质</w:t>
            </w:r>
            <w:r>
              <w:rPr>
                <w:rFonts w:ascii="宋体" w:hAnsi="宋体"/>
                <w:color w:val="000000"/>
                <w:szCs w:val="21"/>
              </w:rPr>
              <w:t>：基础实验室、专业实验室、实习场所、实训场所</w:t>
            </w:r>
            <w:r>
              <w:rPr>
                <w:rFonts w:hint="eastAsia" w:ascii="宋体" w:hAnsi="宋体"/>
                <w:color w:val="000000"/>
                <w:szCs w:val="21"/>
              </w:rPr>
              <w:t>、其他</w:t>
            </w:r>
            <w:r>
              <w:rPr>
                <w:rFonts w:ascii="宋体" w:hAnsi="宋体"/>
                <w:color w:val="000000"/>
                <w:szCs w:val="21"/>
              </w:rPr>
              <w:t>。</w:t>
            </w:r>
          </w:p>
          <w:p>
            <w:pPr>
              <w:adjustRightInd w:val="false"/>
              <w:snapToGrid w:val="false"/>
              <w:rPr>
                <w:rFonts w:hint="default" w:ascii="宋体" w:hAnsi="宋体" w:eastAsia="宋体"/>
                <w:color w:val="000000"/>
                <w:szCs w:val="21"/>
                <w:lang w:val="en-US" w:eastAsia="zh-CN"/>
              </w:rPr>
            </w:pPr>
            <w:r>
              <w:rPr>
                <w:rFonts w:hint="eastAsia" w:ascii="宋体" w:hAnsi="宋体"/>
                <w:color w:val="FF0000"/>
                <w:szCs w:val="21"/>
              </w:rPr>
              <w:t>请</w:t>
            </w:r>
            <w:r>
              <w:rPr>
                <w:rFonts w:hint="eastAsia" w:ascii="宋体" w:hAnsi="宋体"/>
                <w:color w:val="FF0000"/>
                <w:szCs w:val="21"/>
                <w:lang w:val="en-US" w:eastAsia="zh-CN"/>
              </w:rPr>
              <w:t>在202</w:t>
            </w:r>
            <w:r>
              <w:rPr>
                <w:rFonts w:hint="eastAsia" w:ascii="宋体" w:hAnsi="宋体"/>
                <w:color w:val="FF0000"/>
                <w:szCs w:val="21"/>
                <w:lang w:val="en-US" w:eastAsia="zh-CN"/>
              </w:rPr>
              <w:t>3</w:t>
            </w:r>
            <w:r>
              <w:rPr>
                <w:rFonts w:hint="eastAsia" w:ascii="宋体" w:hAnsi="宋体"/>
                <w:color w:val="FF0000"/>
                <w:szCs w:val="21"/>
                <w:lang w:val="en-US" w:eastAsia="zh-CN"/>
              </w:rPr>
              <w:t>年数据中修改补充。</w:t>
            </w:r>
          </w:p>
        </w:tc>
      </w:tr>
      <w:bookmarkStart w:id="2" w:name="RANGE!A8"/>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表1-7-3学校基层教学组织（时点）</w:t>
            </w:r>
            <w:bookmarkEnd w:id="2"/>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教学科</w:t>
            </w:r>
          </w:p>
        </w:tc>
        <w:tc>
          <w:tcPr>
            <w:tcW w:w="7975" w:type="dxa"/>
            <w:shd w:val="clear" w:color="auto" w:fill="auto"/>
            <w:vAlign w:val="center"/>
          </w:tcPr>
          <w:p>
            <w:pPr>
              <w:widowControl/>
              <w:rPr>
                <w:rFonts w:ascii="宋体" w:hAnsi="宋体" w:cstheme="minorBidi"/>
                <w:szCs w:val="22"/>
              </w:rPr>
            </w:pPr>
            <w:r>
              <w:rPr/>
              <w:drawing>
                <wp:inline distT="0" distB="0" distL="0" distR="0">
                  <wp:extent cx="4957445" cy="769620"/>
                  <wp:effectExtent l="0" t="0" r="14605" b="11430"/>
                  <wp:docPr id="5" name="图片 45"/>
                  <wp:cNvGraphicFramePr>
                    <a:graphicFrameLocks noChangeAspect="true"/>
                  </wp:cNvGraphicFramePr>
                  <a:graphic>
                    <a:graphicData uri="http://schemas.openxmlformats.org/drawingml/2006/picture">
                      <pic:pic>
                        <pic:nvPicPr>
                          <pic:cNvPr id="6" name="图片 45"/>
                          <pic:cNvPicPr>
                            <a:picLocks noChangeAspect="true"/>
                          </pic:cNvPicPr>
                        </pic:nvPicPr>
                        <pic:blipFill>
                          <a:blip r:embed="rId6"/>
                          <a:stretch>
                            <a:fillRect/>
                          </a:stretch>
                        </pic:blipFill>
                        <pic:spPr>
                          <a:xfrm>
                            <a:off x="0" y="0"/>
                            <a:ext cx="4957445" cy="769620"/>
                          </a:xfrm>
                          <a:prstGeom prst="rect">
                            <a:avLst/>
                          </a:prstGeom>
                        </pic:spPr>
                      </pic:pic>
                    </a:graphicData>
                  </a:graphic>
                </wp:inline>
              </w:drawing>
            </w:r>
          </w:p>
        </w:tc>
        <w:tc>
          <w:tcPr>
            <w:tcW w:w="4334" w:type="dxa"/>
            <w:shd w:val="clear" w:color="auto" w:fill="auto"/>
            <w:vAlign w:val="center"/>
          </w:tcPr>
          <w:p>
            <w:pPr>
              <w:keepNext w:val="false"/>
              <w:keepLines w:val="false"/>
              <w:pageBreakBefore w:val="false"/>
              <w:widowControl w:val="false"/>
              <w:kinsoku/>
              <w:wordWrap/>
              <w:overflowPunct/>
              <w:topLinePunct w:val="false"/>
              <w:autoSpaceDE/>
              <w:autoSpaceDN/>
              <w:bidi w:val="false"/>
              <w:adjustRightInd w:val="false"/>
              <w:snapToGrid w:val="false"/>
              <w:spacing w:line="240" w:lineRule="auto"/>
              <w:textAlignment w:val="auto"/>
              <w:rPr>
                <w:rFonts w:hint="eastAsia" w:ascii="宋体" w:hAnsi="宋体" w:eastAsia="宋体" w:cs="宋体"/>
                <w:b w:val="false"/>
                <w:bCs/>
                <w:color w:val="000000"/>
                <w:sz w:val="21"/>
                <w:szCs w:val="21"/>
              </w:rPr>
            </w:pPr>
            <w:r>
              <w:rPr>
                <w:rFonts w:hint="eastAsia" w:ascii="宋体" w:hAnsi="宋体" w:cs="宋体"/>
                <w:b/>
                <w:bCs/>
                <w:szCs w:val="21"/>
              </w:rPr>
              <w:t>基层教学组织类型：</w:t>
            </w:r>
            <w:r>
              <w:rPr>
                <w:rFonts w:hint="eastAsia" w:ascii="宋体" w:hAnsi="宋体" w:cs="宋体"/>
                <w:szCs w:val="21"/>
              </w:rPr>
              <w:t>包括学院/系教研室（中心）、实验教学中心、课程组、教学团队、教学研究与发展中心/平台、其他等。</w:t>
            </w:r>
            <w:r>
              <w:rPr>
                <w:rFonts w:hint="eastAsia" w:ascii="宋体" w:hAnsi="宋体" w:eastAsia="宋体" w:cs="宋体"/>
                <w:b w:val="false"/>
                <w:bCs/>
                <w:color w:val="000000" w:themeColor="text1"/>
                <w:sz w:val="21"/>
                <w:szCs w:val="21"/>
                <w:lang w:val="en-US" w:eastAsia="zh-CN"/>
                <w14:textFill>
                  <w14:solidFill>
                    <w14:schemeClr w14:val="tx1"/>
                  </w14:solidFill>
                </w14:textFill>
              </w:rPr>
              <w:t>根据审核评估的要求，</w:t>
            </w:r>
            <w:r>
              <w:rPr>
                <w:rFonts w:hint="eastAsia" w:ascii="宋体" w:hAnsi="宋体" w:eastAsia="宋体" w:cs="宋体"/>
                <w:b w:val="false"/>
                <w:bCs/>
                <w:color w:val="FF0000"/>
                <w:sz w:val="21"/>
                <w:szCs w:val="21"/>
                <w:highlight w:val="none"/>
                <w:lang w:val="en-US" w:eastAsia="zh-CN"/>
              </w:rPr>
              <w:t>每个专业必须至少建有一个基层教学组织。</w:t>
            </w:r>
          </w:p>
          <w:p>
            <w:pPr>
              <w:keepNext w:val="false"/>
              <w:keepLines w:val="false"/>
              <w:pageBreakBefore w:val="false"/>
              <w:widowControl w:val="false"/>
              <w:kinsoku/>
              <w:wordWrap/>
              <w:overflowPunct/>
              <w:topLinePunct w:val="false"/>
              <w:autoSpaceDE/>
              <w:autoSpaceDN/>
              <w:bidi w:val="false"/>
              <w:adjustRightInd w:val="false"/>
              <w:snapToGrid w:val="false"/>
              <w:spacing w:line="240" w:lineRule="auto"/>
              <w:textAlignment w:val="auto"/>
              <w:rPr>
                <w:rFonts w:ascii="宋体" w:hAnsi="宋体" w:cstheme="minorBidi"/>
                <w:szCs w:val="21"/>
              </w:rPr>
            </w:pPr>
            <w:r>
              <w:rPr>
                <w:rFonts w:hint="eastAsia" w:ascii="宋体" w:hAnsi="宋体" w:eastAsia="宋体" w:cs="宋体"/>
                <w:b w:val="false"/>
                <w:bCs/>
                <w:kern w:val="0"/>
                <w:sz w:val="21"/>
                <w:szCs w:val="21"/>
                <w:lang w:bidi="ar"/>
              </w:rPr>
              <w:t>表内校验：</w:t>
            </w:r>
            <w:r>
              <w:rPr>
                <w:rFonts w:hint="eastAsia" w:ascii="宋体" w:hAnsi="宋体" w:cs="宋体"/>
                <w:b w:val="false"/>
                <w:bCs/>
                <w:color w:val="FF0000"/>
                <w:kern w:val="0"/>
                <w:sz w:val="21"/>
                <w:szCs w:val="21"/>
                <w:highlight w:val="none"/>
                <w:lang w:val="en-US" w:eastAsia="zh-CN" w:bidi="ar"/>
              </w:rPr>
              <w:t>1.</w:t>
            </w:r>
            <w:r>
              <w:rPr>
                <w:rStyle w:val="00000b"/>
                <w:rFonts w:hint="eastAsia" w:ascii="宋体" w:hAnsi="宋体" w:eastAsia="宋体" w:cs="宋体"/>
                <w:b w:val="false"/>
                <w:bCs/>
                <w:color w:val="FF0000"/>
                <w:sz w:val="21"/>
                <w:szCs w:val="21"/>
                <w:highlight w:val="none"/>
                <w:lang w:bidi="ar"/>
              </w:rPr>
              <w:t>“专业代码+基层教学组织名称”不重复</w:t>
            </w:r>
            <w:r>
              <w:rPr>
                <w:rStyle w:val="00000b"/>
                <w:rFonts w:hint="eastAsia" w:ascii="宋体" w:hAnsi="宋体" w:eastAsia="宋体" w:cs="宋体"/>
                <w:b w:val="false"/>
                <w:bCs/>
                <w:color w:val="auto"/>
                <w:sz w:val="21"/>
                <w:szCs w:val="21"/>
                <w:lang w:eastAsia="zh-CN" w:bidi="ar"/>
              </w:rPr>
              <w:t>；</w:t>
            </w:r>
            <w:r>
              <w:rPr>
                <w:rStyle w:val="00000b"/>
                <w:rFonts w:hint="eastAsia" w:ascii="宋体" w:hAnsi="宋体" w:eastAsia="宋体" w:cs="宋体"/>
                <w:b w:val="false"/>
                <w:bCs/>
                <w:color w:val="auto"/>
                <w:sz w:val="21"/>
                <w:szCs w:val="21"/>
                <w:lang w:bidi="ar"/>
              </w:rPr>
              <w:t>“专业名称+专业代码”与</w:t>
            </w:r>
            <w:r>
              <w:rPr>
                <w:rStyle w:val="00000b"/>
                <w:rFonts w:hint="eastAsia" w:ascii="宋体" w:hAnsi="宋体" w:eastAsia="宋体" w:cs="宋体"/>
                <w:b w:val="false"/>
                <w:bCs/>
                <w:color w:val="auto"/>
                <w:sz w:val="21"/>
                <w:szCs w:val="21"/>
              </w:rPr>
              <w:t>表1-4-1中“专业名称+专业代码”保持一致</w:t>
            </w:r>
            <w:r>
              <w:rPr>
                <w:rStyle w:val="00000b"/>
                <w:rFonts w:hint="eastAsia" w:ascii="宋体" w:hAnsi="宋体" w:eastAsia="宋体" w:cs="宋体"/>
                <w:b w:val="false"/>
                <w:bCs/>
                <w:color w:val="auto"/>
                <w:sz w:val="21"/>
                <w:szCs w:val="21"/>
                <w:lang w:bidi="ar"/>
              </w:rPr>
              <w:t>。</w:t>
            </w:r>
            <w:r>
              <w:rPr>
                <w:rStyle w:val="00000b"/>
                <w:rFonts w:hint="eastAsia" w:ascii="宋体" w:hAnsi="宋体" w:eastAsia="宋体" w:cs="宋体"/>
                <w:b w:val="false"/>
                <w:bCs/>
                <w:color w:val="auto"/>
                <w:sz w:val="21"/>
                <w:szCs w:val="21"/>
                <w:lang w:val="en-US" w:eastAsia="zh-CN" w:bidi="ar"/>
              </w:rPr>
              <w:t>2.</w:t>
            </w:r>
            <w:r>
              <w:rPr>
                <w:rStyle w:val="00000b"/>
                <w:rFonts w:hint="eastAsia" w:ascii="宋体" w:hAnsi="宋体" w:eastAsia="宋体" w:cs="宋体"/>
                <w:b w:val="false"/>
                <w:bCs/>
                <w:color w:val="auto"/>
                <w:sz w:val="21"/>
                <w:szCs w:val="21"/>
                <w:lang w:bidi="ar"/>
              </w:rPr>
              <w:t>基层教学组织对应多个专业，可重复填报，不限定专业的，专业代码填“000000”，名称为“不限定专业”</w:t>
            </w:r>
            <w:r>
              <w:rPr>
                <w:rStyle w:val="00000b"/>
                <w:rFonts w:hint="eastAsia" w:ascii="宋体" w:hAnsi="宋体" w:eastAsia="宋体" w:cs="宋体"/>
                <w:b w:val="false"/>
                <w:bCs/>
                <w:color w:val="auto"/>
                <w:sz w:val="21"/>
                <w:szCs w:val="21"/>
                <w:lang w:eastAsia="zh-CN" w:bidi="ar"/>
              </w:rPr>
              <w:t>。</w:t>
            </w:r>
          </w:p>
        </w:tc>
      </w:tr>
      <w:tr>
        <w:trPr>
          <w:trHeight w:val="285" w:hRule="atLeast"/>
        </w:trPr>
        <w:tc>
          <w:tcPr>
            <w:tcW w:w="15474" w:type="dxa"/>
            <w:gridSpan w:val="4"/>
            <w:shd w:val="clear" w:color="auto" w:fill="auto"/>
            <w:vAlign w:val="center"/>
          </w:tcPr>
          <w:p>
            <w:pPr>
              <w:rPr>
                <w:rFonts w:ascii="宋体" w:hAnsi="宋体" w:cs="仿宋_GB2312"/>
                <w:b/>
                <w:sz w:val="24"/>
              </w:rPr>
            </w:pPr>
            <w:r>
              <w:rPr>
                <w:rFonts w:hint="eastAsia" w:ascii="宋体" w:hAnsi="宋体" w:cs="仿宋_GB2312"/>
                <w:b/>
                <w:sz w:val="24"/>
              </w:rPr>
              <w:t>2.学校基本条件</w:t>
            </w:r>
          </w:p>
        </w:tc>
      </w:tr>
      <w:bookmarkStart w:id="3" w:name="RANGE!A23"/>
      <w:tr>
        <w:trPr>
          <w:trHeight w:val="9258"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表2-4 校外实习、实践、实训基地（时点、学年）</w:t>
            </w:r>
            <w:bookmarkEnd w:id="3"/>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实践科</w:t>
            </w:r>
          </w:p>
        </w:tc>
        <w:tc>
          <w:tcPr>
            <w:tcW w:w="7975" w:type="dxa"/>
            <w:shd w:val="clear" w:color="auto" w:fill="auto"/>
            <w:vAlign w:val="center"/>
          </w:tcPr>
          <w:p>
            <w:pPr>
              <w:rPr>
                <w:rFonts w:ascii="宋体" w:hAnsi="宋体" w:cs="仿宋_GB2312"/>
                <w:sz w:val="24"/>
              </w:rPr>
            </w:pPr>
            <w:r>
              <w:rPr>
                <w:rFonts w:ascii="宋体" w:hAnsi="宋体" w:cs="仿宋_GB2312"/>
                <w:sz w:val="24"/>
              </w:rPr>
              <w:drawing>
                <wp:inline distT="0" distB="0" distL="0" distR="0">
                  <wp:extent cx="4920615" cy="783344"/>
                  <wp:effectExtent l="0" t="0" r="0" b="0"/>
                  <wp:docPr id="8" name="picture" descr="descript"/>
                  <wp:cNvGraphicFramePr/>
                  <a:graphic>
                    <a:graphicData uri="http://schemas.openxmlformats.org/drawingml/2006/picture">
                      <pic:pic>
                        <pic:nvPicPr>
                          <pic:cNvPr id="9" name="picture" descr="descript"/>
                          <pic:cNvPicPr/>
                        </pic:nvPicPr>
                        <pic:blipFill rotWithShape="true">
                          <a:blip r:embed="rId7"/>
                          <a:stretch/>
                        </pic:blipFill>
                        <pic:spPr>
                          <a:xfrm>
                            <a:off x="0" y="0"/>
                            <a:ext cx="4920615" cy="783344"/>
                          </a:xfrm>
                          <a:prstGeom prst="rect">
                            <a:avLst/>
                          </a:prstGeom>
                        </pic:spPr>
                      </pic:pic>
                    </a:graphicData>
                  </a:graphic>
                </wp:inline>
              </w:drawing>
            </w:r>
          </w:p>
        </w:tc>
        <w:tc>
          <w:tcPr>
            <w:tcW w:w="4334" w:type="dxa"/>
            <w:shd w:val="clear" w:color="auto" w:fill="auto"/>
            <w:vAlign w:val="center"/>
          </w:tcPr>
          <w:p>
            <w:pPr>
              <w:snapToGrid/>
              <w:spacing w:before="0" w:after="0" w:line="240"/>
              <w:ind w:left="0" w:right="0"/>
              <w:jc w:val="left"/>
              <w:rPr>
                <w:color w:val="333333"/>
                <w:shd w:val="clear" w:color="auto" w:fill="auto"/>
              </w:rPr>
            </w:pPr>
            <w:r>
              <w:rPr>
                <w:rFonts w:ascii="宋体" w:hAnsi="宋体" w:eastAsia="宋体" w:cs="宋体"/>
                <w:b/>
                <w:i w:val="false"/>
                <w:strike w:val="false"/>
                <w:color w:val="333333"/>
                <w:sz w:val="20"/>
                <w:u w:val="none"/>
                <w:shd w:val="clear" w:color="auto" w:fill="auto"/>
              </w:rPr>
              <w:t>校外实习、实践、实训基地</w:t>
            </w:r>
            <w:r>
              <w:rPr>
                <w:rFonts w:ascii="宋体" w:hAnsi="宋体" w:eastAsia="宋体" w:cs="宋体"/>
                <w:i w:val="false"/>
                <w:strike w:val="false"/>
                <w:color w:val="333333"/>
                <w:sz w:val="20"/>
                <w:u w:val="none"/>
                <w:shd w:val="clear" w:color="auto" w:fill="auto"/>
              </w:rPr>
              <w:t xml:space="preserve">：指学校与校外有关单位签署协议，为学校人才培养提供服务的相对稳定的校外实习实践场所。 </w:t>
            </w:r>
          </w:p>
          <w:p>
            <w:pPr>
              <w:snapToGrid/>
              <w:spacing w:before="0" w:after="0" w:line="240"/>
              <w:ind w:left="0" w:right="0"/>
              <w:jc w:val="left"/>
              <w:rPr>
                <w:color w:val="333333"/>
                <w:shd w:val="clear" w:color="auto" w:fill="auto"/>
              </w:rPr>
            </w:pPr>
            <w:r>
              <w:rPr>
                <w:rFonts w:ascii="宋体" w:hAnsi="宋体" w:eastAsia="宋体" w:cs="宋体"/>
                <w:b/>
                <w:i w:val="false"/>
                <w:strike w:val="false"/>
                <w:color w:val="333333"/>
                <w:sz w:val="20"/>
                <w:u w:val="none"/>
                <w:shd w:val="clear" w:color="auto" w:fill="auto"/>
              </w:rPr>
              <w:t>基地名称</w:t>
            </w:r>
            <w:r>
              <w:rPr>
                <w:rFonts w:ascii="宋体" w:hAnsi="宋体" w:eastAsia="宋体" w:cs="宋体"/>
                <w:i w:val="false"/>
                <w:strike w:val="false"/>
                <w:color w:val="333333"/>
                <w:sz w:val="20"/>
                <w:u w:val="none"/>
                <w:shd w:val="clear" w:color="auto" w:fill="auto"/>
              </w:rPr>
              <w:t xml:space="preserve">：指与该实习基地签订的协议或学校相关文件中对该基地的称谓。 </w:t>
            </w:r>
          </w:p>
          <w:p>
            <w:pPr>
              <w:pBdr>
                <w:bottom/>
              </w:pBdr>
              <w:snapToGrid/>
              <w:spacing w:before="0" w:after="0" w:line="240"/>
              <w:ind w:left="0" w:right="0"/>
              <w:jc w:val="left"/>
              <w:rPr>
                <w:color w:val="333333"/>
                <w:shd w:val="clear" w:color="auto" w:fill="auto"/>
              </w:rPr>
            </w:pPr>
            <w:r>
              <w:rPr>
                <w:rFonts w:ascii="宋体" w:hAnsi="宋体" w:eastAsia="宋体" w:cs="宋体"/>
                <w:b/>
                <w:i w:val="false"/>
                <w:strike w:val="false"/>
                <w:color w:val="333333"/>
                <w:sz w:val="20"/>
                <w:u w:val="none"/>
                <w:shd w:val="clear" w:color="auto" w:fill="auto"/>
              </w:rPr>
              <w:t>面向校内专业：</w:t>
            </w:r>
            <w:r>
              <w:rPr>
                <w:rFonts w:ascii="宋体" w:hAnsi="宋体" w:eastAsia="宋体" w:cs="宋体"/>
                <w:i w:val="false"/>
                <w:strike w:val="false"/>
                <w:color w:val="333333"/>
                <w:sz w:val="20"/>
                <w:u w:val="none"/>
                <w:shd w:val="clear" w:color="auto" w:fill="auto"/>
              </w:rPr>
              <w:t>指该校外实习、实践、实训基地承担教学活动主要面向的本科专业。如面向全校所有本科专业的，专业代码填写</w:t>
            </w:r>
            <w:r>
              <w:rPr>
                <w:rFonts w:ascii="Times New Roman" w:hAnsi="Times New Roman" w:cs="Times New Roman"/>
                <w:i w:val="false"/>
                <w:strike w:val="false"/>
                <w:color w:val="333333"/>
                <w:sz w:val="20"/>
                <w:u w:val="none"/>
                <w:shd w:val="clear" w:color="auto" w:fill="auto"/>
              </w:rPr>
              <w:t>“000000”</w:t>
            </w:r>
            <w:r>
              <w:rPr>
                <w:rFonts w:ascii="宋体" w:hAnsi="宋体" w:eastAsia="宋体" w:cs="宋体"/>
                <w:i w:val="false"/>
                <w:strike w:val="false"/>
                <w:color w:val="333333"/>
                <w:sz w:val="20"/>
                <w:u w:val="none"/>
                <w:shd w:val="clear" w:color="auto" w:fill="auto"/>
              </w:rPr>
              <w:t>，面向校内专业填写</w:t>
            </w:r>
            <w:r>
              <w:rPr>
                <w:rFonts w:ascii="Times New Roman" w:hAnsi="Times New Roman" w:cs="Times New Roman"/>
                <w:i w:val="false"/>
                <w:strike w:val="false"/>
                <w:color w:val="333333"/>
                <w:sz w:val="20"/>
                <w:u w:val="none"/>
                <w:shd w:val="clear" w:color="auto" w:fill="auto"/>
              </w:rPr>
              <w:t>“</w:t>
            </w:r>
            <w:r>
              <w:rPr>
                <w:rFonts w:ascii="宋体" w:hAnsi="宋体" w:eastAsia="宋体" w:cs="宋体"/>
                <w:i w:val="false"/>
                <w:strike w:val="false"/>
                <w:color w:val="333333"/>
                <w:sz w:val="20"/>
                <w:u w:val="none"/>
                <w:shd w:val="clear" w:color="auto" w:fill="auto"/>
              </w:rPr>
              <w:t>不限定专业</w:t>
            </w:r>
            <w:r>
              <w:rPr>
                <w:rFonts w:ascii="Times New Roman" w:hAnsi="Times New Roman" w:cs="Times New Roman"/>
                <w:i w:val="false"/>
                <w:strike w:val="false"/>
                <w:color w:val="333333"/>
                <w:sz w:val="20"/>
                <w:u w:val="none"/>
                <w:shd w:val="clear" w:color="auto" w:fill="auto"/>
              </w:rPr>
              <w:t>”</w:t>
            </w:r>
            <w:r>
              <w:rPr>
                <w:rFonts w:ascii="宋体" w:hAnsi="宋体" w:eastAsia="宋体" w:cs="宋体"/>
                <w:i w:val="false"/>
                <w:strike w:val="false"/>
                <w:color w:val="333333"/>
                <w:sz w:val="20"/>
                <w:u w:val="none"/>
                <w:shd w:val="clear" w:color="auto" w:fill="auto"/>
              </w:rPr>
              <w:t>；如面向特定专业的，填写“校内专业代码”与表</w:t>
            </w:r>
            <w:r>
              <w:rPr>
                <w:rFonts w:ascii="Calibri" w:hAnsi="Calibri" w:cs="Calibri"/>
                <w:i w:val="false"/>
                <w:strike w:val="false"/>
                <w:color w:val="333333"/>
                <w:sz w:val="20"/>
                <w:u w:val="none"/>
                <w:shd w:val="clear" w:color="auto" w:fill="auto"/>
              </w:rPr>
              <w:t>1-4-1</w:t>
            </w:r>
            <w:r>
              <w:rPr>
                <w:rFonts w:ascii="宋体" w:hAnsi="宋体" w:eastAsia="宋体" w:cs="宋体"/>
                <w:i w:val="false"/>
                <w:strike w:val="false"/>
                <w:color w:val="333333"/>
                <w:sz w:val="20"/>
                <w:u w:val="none"/>
                <w:shd w:val="clear" w:color="auto" w:fill="auto"/>
              </w:rPr>
              <w:t xml:space="preserve">“校内专业代码”保持一致。 </w:t>
            </w:r>
          </w:p>
          <w:p>
            <w:pPr>
              <w:snapToGrid/>
              <w:spacing w:before="0" w:after="0" w:line="240"/>
              <w:ind w:left="0" w:right="0"/>
              <w:jc w:val="left"/>
              <w:rPr>
                <w:color w:val="333333"/>
                <w:shd w:val="clear" w:color="auto" w:fill="auto"/>
              </w:rPr>
            </w:pPr>
            <w:r>
              <w:rPr>
                <w:rFonts w:ascii="宋体" w:hAnsi="宋体" w:eastAsia="宋体" w:cs="宋体"/>
                <w:b/>
                <w:i w:val="false"/>
                <w:strike w:val="false"/>
                <w:color w:val="333333"/>
                <w:sz w:val="20"/>
                <w:u w:val="none"/>
                <w:shd w:val="clear" w:color="auto" w:fill="auto"/>
              </w:rPr>
              <w:t>创业实习基地：</w:t>
            </w:r>
            <w:r>
              <w:rPr>
                <w:rFonts w:ascii="宋体" w:hAnsi="宋体" w:eastAsia="宋体" w:cs="宋体"/>
                <w:i w:val="false"/>
                <w:strike w:val="false"/>
                <w:color w:val="333333"/>
                <w:sz w:val="20"/>
                <w:u w:val="none"/>
                <w:shd w:val="clear" w:color="auto" w:fill="auto"/>
              </w:rPr>
              <w:t>指按照国务院办公厅关于深化高等学校创新创业教育改革的实施意见（国办发〔</w:t>
            </w:r>
            <w:r>
              <w:rPr>
                <w:rFonts w:ascii="'Times New Roman'" w:hAnsi="'Times New Roman'" w:cs="'Times New Roman'"/>
                <w:i w:val="false"/>
                <w:strike w:val="false"/>
                <w:color w:val="333333"/>
                <w:sz w:val="20"/>
                <w:u w:val="none"/>
                <w:shd w:val="clear" w:color="auto" w:fill="auto"/>
              </w:rPr>
              <w:t>2015</w:t>
            </w:r>
            <w:r>
              <w:rPr>
                <w:rFonts w:ascii="宋体" w:hAnsi="宋体" w:eastAsia="宋体" w:cs="宋体"/>
                <w:i w:val="false"/>
                <w:strike w:val="false"/>
                <w:color w:val="333333"/>
                <w:sz w:val="20"/>
                <w:u w:val="none"/>
                <w:shd w:val="clear" w:color="auto" w:fill="auto"/>
              </w:rPr>
              <w:t>〕</w:t>
            </w:r>
            <w:r>
              <w:rPr>
                <w:rFonts w:ascii="'Times New Roman'" w:hAnsi="'Times New Roman'" w:cs="'Times New Roman'"/>
                <w:i w:val="false"/>
                <w:strike w:val="false"/>
                <w:color w:val="333333"/>
                <w:sz w:val="20"/>
                <w:u w:val="none"/>
                <w:shd w:val="clear" w:color="auto" w:fill="auto"/>
              </w:rPr>
              <w:t>36</w:t>
            </w:r>
            <w:r>
              <w:rPr>
                <w:rFonts w:ascii="宋体" w:hAnsi="宋体" w:eastAsia="宋体" w:cs="宋体"/>
                <w:i w:val="false"/>
                <w:strike w:val="false"/>
                <w:color w:val="333333"/>
                <w:sz w:val="20"/>
                <w:u w:val="none"/>
                <w:shd w:val="clear" w:color="auto" w:fill="auto"/>
              </w:rPr>
              <w:t>号），与校外联合建立的创业实习基地。</w:t>
            </w:r>
          </w:p>
          <w:p>
            <w:pPr>
              <w:snapToGrid/>
              <w:spacing w:before="0" w:after="0" w:line="240"/>
              <w:ind w:left="0" w:right="0"/>
              <w:jc w:val="left"/>
              <w:rPr>
                <w:color w:val="333333"/>
                <w:shd w:val="clear" w:color="auto" w:fill="auto"/>
              </w:rPr>
            </w:pPr>
            <w:r>
              <w:rPr>
                <w:rFonts w:ascii="宋体" w:hAnsi="宋体" w:eastAsia="宋体" w:cs="宋体"/>
                <w:b/>
                <w:i w:val="false"/>
                <w:strike w:val="false"/>
                <w:color w:val="333333"/>
                <w:sz w:val="20"/>
                <w:u w:val="none"/>
                <w:shd w:val="clear" w:color="auto" w:fill="auto"/>
              </w:rPr>
              <w:t>示范性教育实践基地：</w:t>
            </w:r>
            <w:r>
              <w:rPr>
                <w:rFonts w:ascii="宋体" w:hAnsi="宋体" w:eastAsia="宋体" w:cs="宋体"/>
                <w:i w:val="false"/>
                <w:strike w:val="false"/>
                <w:color w:val="333333"/>
                <w:sz w:val="20"/>
                <w:u w:val="none"/>
                <w:shd w:val="clear" w:color="auto" w:fill="auto"/>
              </w:rPr>
              <w:t>指省级及以上教育主管部门遴选建设的示范性教育实践基地、示范性教师教育（实践）基地、教师发展示范基地校等。</w:t>
            </w:r>
          </w:p>
          <w:p>
            <w:pPr>
              <w:snapToGrid/>
              <w:spacing w:before="0" w:after="0" w:line="240"/>
              <w:ind w:left="0" w:right="0"/>
              <w:jc w:val="left"/>
              <w:rPr>
                <w:color w:val="333333"/>
                <w:shd w:val="clear" w:color="auto" w:fill="auto"/>
              </w:rPr>
            </w:pPr>
            <w:r>
              <w:rPr>
                <w:rFonts w:ascii="宋体" w:hAnsi="宋体" w:eastAsia="宋体" w:cs="宋体"/>
                <w:i w:val="false"/>
                <w:strike w:val="false"/>
                <w:color w:val="333333"/>
                <w:sz w:val="20"/>
                <w:u w:val="none"/>
                <w:shd w:val="clear" w:color="auto" w:fill="auto"/>
              </w:rPr>
              <w:t xml:space="preserve">其中，职业技术师范教育专业包括示范性教育实践基地和示范性专业实践基地。 </w:t>
            </w:r>
          </w:p>
          <w:p>
            <w:pPr>
              <w:snapToGrid/>
              <w:spacing w:before="0" w:after="0" w:line="240"/>
              <w:ind w:left="0" w:right="0"/>
              <w:jc w:val="left"/>
              <w:rPr>
                <w:color w:val="333333"/>
                <w:shd w:val="clear" w:color="auto" w:fill="auto"/>
              </w:rPr>
            </w:pPr>
            <w:r>
              <w:rPr>
                <w:rFonts w:ascii="宋体" w:hAnsi="宋体" w:eastAsia="宋体" w:cs="宋体"/>
                <w:b/>
                <w:i w:val="false"/>
                <w:strike w:val="false"/>
                <w:color w:val="333333"/>
                <w:sz w:val="20"/>
                <w:u w:val="none"/>
                <w:shd w:val="clear" w:color="auto" w:fill="auto"/>
              </w:rPr>
              <w:t>当年接纳学生总数</w:t>
            </w:r>
            <w:r>
              <w:rPr>
                <w:rFonts w:ascii="宋体" w:hAnsi="宋体" w:eastAsia="宋体" w:cs="宋体"/>
                <w:i w:val="false"/>
                <w:strike w:val="false"/>
                <w:color w:val="333333"/>
                <w:sz w:val="20"/>
                <w:u w:val="none"/>
                <w:shd w:val="clear" w:color="auto" w:fill="auto"/>
              </w:rPr>
              <w:t>：</w:t>
            </w:r>
            <w:r>
              <w:rPr>
                <w:rFonts w:ascii="宋体" w:hAnsi="宋体" w:eastAsia="宋体" w:cs="宋体"/>
                <w:i w:val="false"/>
                <w:strike w:val="false"/>
                <w:color w:val="FF0000"/>
                <w:sz w:val="20"/>
                <w:u w:val="none"/>
                <w:shd w:val="clear" w:color="auto" w:fill="auto"/>
              </w:rPr>
              <w:t>指该实习基地学年度接纳的该专业学生总人次数，</w:t>
            </w:r>
            <w:r>
              <w:rPr>
                <w:rFonts w:ascii="宋体" w:hAnsi="宋体" w:eastAsia="宋体" w:cs="宋体"/>
                <w:b/>
                <w:i w:val="false"/>
                <w:strike w:val="false"/>
                <w:color w:val="FF0000"/>
                <w:sz w:val="20"/>
                <w:u w:val="none"/>
                <w:shd w:val="clear" w:color="auto" w:fill="auto"/>
              </w:rPr>
              <w:t>本指标是按“学年（2023年9月1日至2024年8月31日）”统计，</w:t>
            </w:r>
            <w:r>
              <w:rPr>
                <w:rFonts w:ascii="宋体" w:hAnsi="宋体" w:eastAsia="宋体" w:cs="宋体"/>
                <w:i w:val="false"/>
                <w:strike w:val="false"/>
                <w:color w:val="FF0000"/>
                <w:sz w:val="21"/>
                <w:u w:val="none"/>
                <w:shd w:val="clear" w:color="auto" w:fill="auto"/>
              </w:rPr>
              <w:t>尽量不要填写“0</w:t>
            </w:r>
            <w:r>
              <w:rPr>
                <w:rFonts w:ascii="宋体" w:hAnsi="宋体" w:eastAsia="宋体" w:cs="宋体"/>
                <w:i w:val="false"/>
                <w:strike w:val="false"/>
                <w:color w:val="FF0000"/>
                <w:sz w:val="21"/>
                <w:u w:val="none"/>
                <w:shd w:val="clear" w:color="auto" w:fill="auto"/>
              </w:rPr>
              <w:t>”。</w:t>
            </w:r>
          </w:p>
          <w:p>
            <w:pPr>
              <w:snapToGrid/>
              <w:spacing w:before="0" w:after="0" w:line="240"/>
              <w:ind w:left="0" w:right="0"/>
              <w:jc w:val="left"/>
              <w:rPr>
                <w:color w:val="333333"/>
                <w:shd w:val="clear" w:color="auto" w:fill="auto"/>
              </w:rPr>
            </w:pPr>
            <w:r>
              <w:rPr>
                <w:rFonts w:ascii="宋体" w:hAnsi="宋体" w:eastAsia="宋体" w:cs="宋体"/>
                <w:b/>
                <w:i w:val="false"/>
                <w:strike w:val="false"/>
                <w:color w:val="333333"/>
                <w:sz w:val="20"/>
                <w:u w:val="none"/>
                <w:shd w:val="clear" w:color="auto" w:fill="auto"/>
              </w:rPr>
              <w:t>注：此处填报的是各院系所属的各个专业使用的校外实习、实践、实训基地，同一基地可以在不同专业之间重复填报。</w:t>
            </w:r>
          </w:p>
          <w:p>
            <w:pPr>
              <w:snapToGrid/>
              <w:spacing w:before="0" w:after="0" w:line="240"/>
              <w:ind w:left="0" w:right="0"/>
              <w:jc w:val="both"/>
              <w:rPr>
                <w:color w:val="FF0000"/>
                <w:shd w:val="clear" w:color="auto" w:fill="auto"/>
              </w:rPr>
            </w:pPr>
          </w:p>
          <w:p>
            <w:pPr>
              <w:adjustRightInd w:val="false"/>
              <w:snapToGrid w:val="false"/>
              <w:spacing w:line="276" w:lineRule="auto"/>
              <w:rPr>
                <w:rFonts w:hint="default" w:ascii="宋体" w:hAnsi="宋体" w:eastAsia="宋体"/>
                <w:b/>
                <w:color w:val="000000"/>
                <w:shd w:val="clear" w:color="auto" w:fill="auto"/>
                <w:lang w:val="en-US" w:eastAsia="zh-CN"/>
              </w:rPr>
            </w:pPr>
          </w:p>
        </w:tc>
      </w:tr>
      <w:bookmarkStart w:id="4" w:name="RANGE!A26"/>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表2-6 本科实验设备情况（时点）</w:t>
            </w:r>
            <w:bookmarkEnd w:id="4"/>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实践科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12030" cy="412115"/>
                  <wp:effectExtent l="0" t="0" r="7620" b="6985"/>
                  <wp:docPr id="11" name="图片 7"/>
                  <wp:cNvGraphicFramePr>
                    <a:graphicFrameLocks noChangeAspect="true"/>
                  </wp:cNvGraphicFramePr>
                  <a:graphic>
                    <a:graphicData uri="http://schemas.openxmlformats.org/drawingml/2006/picture">
                      <pic:pic>
                        <pic:nvPicPr>
                          <pic:cNvPr id="12" name="图片 7"/>
                          <pic:cNvPicPr>
                            <a:picLocks noChangeAspect="true"/>
                          </pic:cNvPicPr>
                        </pic:nvPicPr>
                        <pic:blipFill>
                          <a:blip r:embed="rId8"/>
                          <a:stretch>
                            <a:fillRect/>
                          </a:stretch>
                        </pic:blipFill>
                        <pic:spPr>
                          <a:xfrm>
                            <a:off x="0" y="0"/>
                            <a:ext cx="4812030" cy="412676"/>
                          </a:xfrm>
                          <a:prstGeom prst="rect">
                            <a:avLst/>
                          </a:prstGeom>
                        </pic:spPr>
                      </pic:pic>
                    </a:graphicData>
                  </a:graphic>
                </wp:inline>
              </w:drawing>
            </w:r>
          </w:p>
        </w:tc>
        <w:tc>
          <w:tcPr>
            <w:tcW w:w="4334" w:type="dxa"/>
            <w:shd w:val="clear" w:color="auto" w:fill="auto"/>
            <w:vAlign w:val="center"/>
          </w:tcPr>
          <w:p>
            <w:pPr>
              <w:snapToGrid/>
              <w:spacing w:line="240"/>
              <w:rPr/>
            </w:pPr>
            <w:r>
              <w:rPr>
                <w:rFonts w:ascii="宋体" w:hAnsi="宋体" w:eastAsia="宋体" w:cs="宋体"/>
                <w:b/>
                <w:i w:val="false"/>
                <w:strike w:val="false"/>
                <w:color w:val="000000"/>
                <w:sz w:val="21"/>
                <w:u w:val="none"/>
              </w:rPr>
              <w:t>实验场所：</w:t>
            </w:r>
            <w:r>
              <w:rPr>
                <w:rFonts w:ascii="宋体" w:hAnsi="宋体" w:eastAsia="宋体" w:cs="宋体"/>
                <w:i w:val="false"/>
                <w:strike w:val="false"/>
                <w:color w:val="000000"/>
                <w:sz w:val="21"/>
                <w:u w:val="none"/>
              </w:rPr>
              <w:t>指用于本科实验教学的实验场所。</w:t>
            </w:r>
            <w:r>
              <w:rPr>
                <w:rFonts w:ascii="宋体" w:hAnsi="宋体" w:eastAsia="宋体" w:cs="宋体"/>
                <w:b/>
                <w:i w:val="false"/>
                <w:strike w:val="false"/>
                <w:color w:val="000000"/>
                <w:sz w:val="21"/>
                <w:u w:val="none"/>
              </w:rPr>
              <w:t>（实验教学中心需拆分为单个实验室填报）</w:t>
            </w:r>
          </w:p>
          <w:p>
            <w:pPr>
              <w:pBdr/>
              <w:adjustRightInd w:val="false"/>
              <w:snapToGrid w:val="false"/>
              <w:spacing w:line="276" w:lineRule="auto"/>
              <w:rPr>
                <w:rFonts w:ascii="宋体" w:hAnsi="宋体"/>
                <w:color w:val="000000"/>
                <w:szCs w:val="21"/>
              </w:rPr>
            </w:pPr>
            <w:r>
              <w:rPr>
                <w:rFonts w:ascii="宋体" w:hAnsi="宋体"/>
                <w:b/>
                <w:color w:val="000000"/>
                <w:szCs w:val="21"/>
              </w:rPr>
              <w:t>教学实验仪器设备（含软件）：</w:t>
            </w:r>
            <w:r>
              <w:rPr>
                <w:rFonts w:ascii="宋体" w:hAnsi="宋体"/>
                <w:color w:val="000000"/>
                <w:szCs w:val="21"/>
              </w:rPr>
              <w:t>指该实验室所拥有的用于本科教学的教学仪器（含软件）。</w:t>
            </w:r>
            <w:r>
              <w:rPr>
                <w:rFonts w:ascii="宋体" w:hAnsi="宋体"/>
                <w:b/>
                <w:color w:val="000000"/>
                <w:szCs w:val="21"/>
              </w:rPr>
              <w:t>注：</w:t>
            </w:r>
            <w:r>
              <w:rPr>
                <w:rFonts w:ascii="宋体" w:hAnsi="宋体"/>
                <w:color w:val="000000"/>
                <w:szCs w:val="21"/>
              </w:rPr>
              <w:t>仅统计耐用时间在一年以上，单价1000元以上的仪器设备（含软件）。</w:t>
            </w:r>
          </w:p>
          <w:p>
            <w:pPr>
              <w:snapToGrid/>
              <w:spacing w:line="240"/>
              <w:rPr/>
            </w:pPr>
            <w:r>
              <w:rPr>
                <w:rFonts w:ascii="宋体" w:hAnsi="宋体" w:eastAsia="宋体" w:cs="宋体"/>
                <w:b/>
                <w:i w:val="false"/>
                <w:strike w:val="false"/>
                <w:color w:val="000000"/>
                <w:sz w:val="21"/>
                <w:u w:val="none"/>
              </w:rPr>
              <w:t>主要教学实验仪器设备编号：</w:t>
            </w:r>
            <w:r>
              <w:rPr>
                <w:rFonts w:ascii="宋体" w:hAnsi="宋体" w:eastAsia="宋体" w:cs="宋体"/>
                <w:i w:val="false"/>
                <w:strike w:val="false"/>
                <w:color w:val="000000"/>
                <w:sz w:val="21"/>
                <w:u w:val="none"/>
              </w:rPr>
              <w:t>仪器编号需与教育部实验室统计报表仪器编号保持一致。</w:t>
            </w:r>
          </w:p>
          <w:p>
            <w:pPr>
              <w:pBdr>
                <w:bottom/>
              </w:pBdr>
              <w:snapToGrid/>
              <w:spacing w:line="240"/>
              <w:rPr/>
            </w:pPr>
            <w:r>
              <w:rPr>
                <w:rFonts w:ascii="宋体" w:hAnsi="宋体" w:eastAsia="宋体" w:cs="宋体"/>
                <w:b/>
                <w:i w:val="false"/>
                <w:strike w:val="false"/>
                <w:color w:val="000000"/>
                <w:sz w:val="21"/>
                <w:u w:val="none"/>
              </w:rPr>
              <w:t>购置时间：</w:t>
            </w:r>
            <w:r>
              <w:rPr>
                <w:rFonts w:ascii="宋体" w:hAnsi="宋体" w:eastAsia="宋体" w:cs="宋体"/>
                <w:i w:val="false"/>
                <w:strike w:val="false"/>
                <w:color w:val="000000"/>
                <w:sz w:val="21"/>
                <w:u w:val="none"/>
              </w:rPr>
              <w:t>指仪器设备到校验收时间。数据格式为字符型，长度为</w:t>
            </w:r>
            <w:r>
              <w:rPr>
                <w:rFonts w:ascii="Times New Roman" w:hAnsi="Times New Roman" w:cs="Times New Roman"/>
                <w:i w:val="false"/>
                <w:strike w:val="false"/>
                <w:color w:val="000000"/>
                <w:sz w:val="21"/>
                <w:u w:val="none"/>
              </w:rPr>
              <w:t>6</w:t>
            </w:r>
            <w:r>
              <w:rPr>
                <w:rFonts w:ascii="宋体" w:hAnsi="宋体" w:eastAsia="宋体" w:cs="宋体"/>
                <w:i w:val="false"/>
                <w:strike w:val="false"/>
                <w:color w:val="000000"/>
                <w:sz w:val="21"/>
                <w:u w:val="none"/>
              </w:rPr>
              <w:t>，前四位表示年，后两位表示月</w:t>
            </w:r>
            <w:r>
              <w:rPr>
                <w:rFonts w:ascii="宋体" w:hAnsi="宋体" w:eastAsia="宋体" w:cs="宋体"/>
                <w:b/>
                <w:i w:val="false"/>
                <w:strike w:val="false"/>
                <w:color w:val="000000"/>
                <w:sz w:val="21"/>
                <w:u w:val="none"/>
              </w:rPr>
              <w:t>。</w:t>
            </w:r>
          </w:p>
        </w:tc>
      </w:tr>
      <w:bookmarkStart w:id="5" w:name="RANGE!A27"/>
      <w:tr>
        <w:trPr>
          <w:trHeight w:val="49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表2-7-1 实验教学示范中心、虚拟仿真实验示范中心（时点）</w:t>
            </w:r>
            <w:bookmarkEnd w:id="5"/>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实践科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20920" cy="704215"/>
                  <wp:effectExtent l="0" t="0" r="17780" b="635"/>
                  <wp:docPr id="14" name="图片 8"/>
                  <wp:cNvGraphicFramePr>
                    <a:graphicFrameLocks noChangeAspect="true"/>
                  </wp:cNvGraphicFramePr>
                  <a:graphic>
                    <a:graphicData uri="http://schemas.openxmlformats.org/drawingml/2006/picture">
                      <pic:pic>
                        <pic:nvPicPr>
                          <pic:cNvPr id="15" name="图片 8"/>
                          <pic:cNvPicPr>
                            <a:picLocks noChangeAspect="true"/>
                          </pic:cNvPicPr>
                        </pic:nvPicPr>
                        <pic:blipFill>
                          <a:blip r:embed="rId9"/>
                          <a:stretch>
                            <a:fillRect/>
                          </a:stretch>
                        </pic:blipFill>
                        <pic:spPr>
                          <a:xfrm>
                            <a:off x="0" y="0"/>
                            <a:ext cx="4820920" cy="704229"/>
                          </a:xfrm>
                          <a:prstGeom prst="rect">
                            <a:avLst/>
                          </a:prstGeom>
                        </pic:spPr>
                      </pic:pic>
                    </a:graphicData>
                  </a:graphic>
                </wp:inline>
              </w:drawing>
            </w:r>
          </w:p>
        </w:tc>
        <w:tc>
          <w:tcPr>
            <w:tcW w:w="4334" w:type="dxa"/>
            <w:shd w:val="clear" w:color="auto" w:fill="auto"/>
            <w:vAlign w:val="center"/>
          </w:tcPr>
          <w:p>
            <w:pPr>
              <w:adjustRightInd w:val="false"/>
              <w:snapToGrid w:val="false"/>
              <w:spacing w:line="276" w:lineRule="auto"/>
              <w:rPr>
                <w:rFonts w:hint="eastAsia" w:ascii="宋体" w:hAnsi="宋体"/>
                <w:color w:val="FF0000"/>
                <w:szCs w:val="21"/>
                <w:lang w:val="en-US" w:eastAsia="zh-CN"/>
              </w:rPr>
            </w:pPr>
            <w:r>
              <w:rPr>
                <w:rFonts w:hint="eastAsia" w:ascii="宋体" w:hAnsi="宋体"/>
                <w:color w:val="FF0000"/>
                <w:szCs w:val="21"/>
              </w:rPr>
              <w:t>请</w:t>
            </w:r>
            <w:r>
              <w:rPr>
                <w:rFonts w:hint="eastAsia" w:ascii="宋体" w:hAnsi="宋体"/>
                <w:color w:val="FF0000"/>
                <w:szCs w:val="21"/>
                <w:lang w:val="en-US" w:eastAsia="zh-CN"/>
              </w:rPr>
              <w:t>在202</w:t>
            </w:r>
            <w:r>
              <w:rPr>
                <w:rFonts w:hint="eastAsia" w:ascii="宋体" w:hAnsi="宋体"/>
                <w:color w:val="FF0000"/>
                <w:szCs w:val="21"/>
                <w:lang w:val="en-US" w:eastAsia="zh-CN"/>
              </w:rPr>
              <w:t>3</w:t>
            </w:r>
            <w:r>
              <w:rPr>
                <w:rFonts w:hint="eastAsia" w:ascii="宋体" w:hAnsi="宋体"/>
                <w:color w:val="FF0000"/>
                <w:szCs w:val="21"/>
                <w:lang w:val="en-US" w:eastAsia="zh-CN"/>
              </w:rPr>
              <w:t>年数据中修改补充。</w:t>
            </w:r>
          </w:p>
          <w:p>
            <w:pPr>
              <w:snapToGrid/>
              <w:spacing w:line="240"/>
              <w:rPr/>
            </w:pPr>
            <w:r>
              <w:rPr>
                <w:rFonts w:ascii="宋体" w:hAnsi="宋体" w:eastAsia="宋体" w:cs="宋体"/>
                <w:b/>
                <w:i w:val="false"/>
                <w:strike w:val="false"/>
                <w:color w:val="000000"/>
                <w:sz w:val="21"/>
                <w:u w:val="none"/>
              </w:rPr>
              <w:t>实验教学示范中心与虚拟仿真实验教学中心：</w:t>
            </w:r>
            <w:r>
              <w:rPr>
                <w:rFonts w:ascii="宋体" w:hAnsi="宋体" w:eastAsia="宋体" w:cs="宋体"/>
                <w:i w:val="false"/>
                <w:strike w:val="false"/>
                <w:color w:val="000000"/>
                <w:sz w:val="21"/>
                <w:u w:val="none"/>
              </w:rPr>
              <w:t>指教育部、中央其他部委或省级教育行政部门批准建设的实验教学示范中心和虚拟仿真实验教学中心。（中心名称不重复；就高填报）。</w:t>
            </w:r>
          </w:p>
          <w:p>
            <w:pPr>
              <w:pBdr>
                <w:bottom/>
              </w:pBdr>
              <w:snapToGrid/>
              <w:spacing w:line="240"/>
              <w:rPr/>
            </w:pPr>
          </w:p>
          <w:p>
            <w:pPr>
              <w:pBdr>
                <w:bottom/>
              </w:pBdr>
              <w:snapToGrid/>
              <w:spacing w:line="240"/>
              <w:rPr/>
            </w:pPr>
            <w:r>
              <w:rPr>
                <w:rFonts w:ascii="宋体" w:hAnsi="宋体" w:eastAsia="宋体" w:cs="宋体"/>
                <w:b/>
                <w:i w:val="false"/>
                <w:strike w:val="false"/>
                <w:color w:val="000000"/>
                <w:sz w:val="21"/>
                <w:u w:val="none"/>
              </w:rPr>
              <w:t>级别：</w:t>
            </w:r>
            <w:r>
              <w:rPr>
                <w:rFonts w:ascii="宋体" w:hAnsi="宋体" w:eastAsia="宋体" w:cs="宋体"/>
                <w:i w:val="false"/>
                <w:strike w:val="false"/>
                <w:color w:val="000000"/>
                <w:sz w:val="21"/>
                <w:u w:val="none"/>
              </w:rPr>
              <w:t>国家级实验教学示范中心、省部级实验教学示范中心、国家级虚拟仿真实验教学中心、省部级虚拟仿真实验教学中心。其中，国家级指教育部批准建设的国家级实验教学示范中心或虚拟仿真实验教学中心；省部级指中央其他部委或省级教育行政部门批准建设的实验教学示范中心或虚拟仿真实验教学中心。</w:t>
            </w:r>
          </w:p>
          <w:p>
            <w:pPr>
              <w:adjustRightInd w:val="false"/>
              <w:snapToGrid w:val="false"/>
              <w:spacing w:line="276" w:lineRule="auto"/>
              <w:rPr>
                <w:rFonts w:ascii="宋体" w:hAnsi="宋体"/>
                <w:color w:val="000000"/>
                <w:szCs w:val="21"/>
              </w:rPr>
            </w:pPr>
            <w:r>
              <w:rPr>
                <w:rFonts w:hint="eastAsia" w:ascii="宋体" w:hAnsi="宋体"/>
                <w:b/>
                <w:color w:val="000000"/>
                <w:szCs w:val="21"/>
              </w:rPr>
              <w:t>学年内承担校内教学人时数：</w:t>
            </w:r>
            <w:r>
              <w:rPr>
                <w:rFonts w:hint="eastAsia" w:ascii="宋体" w:hAnsi="宋体"/>
                <w:color w:val="000000"/>
                <w:szCs w:val="21"/>
              </w:rPr>
              <w:t>对应《高等学校实验室信息统计报表》中开放实验校内人时数。</w:t>
            </w:r>
            <w:r>
              <w:rPr>
                <w:rFonts w:hint="eastAsia" w:ascii="宋体" w:hAnsi="宋体"/>
                <w:b/>
                <w:color w:val="000000"/>
                <w:szCs w:val="21"/>
              </w:rPr>
              <w:t>学年内承担实验项目数：</w:t>
            </w:r>
            <w:r>
              <w:rPr>
                <w:rFonts w:hint="eastAsia" w:ascii="宋体" w:hAnsi="宋体"/>
                <w:color w:val="000000"/>
                <w:szCs w:val="21"/>
              </w:rPr>
              <w:t>对应《高等学校实验室信息统计报表》开放实验个数（校内</w:t>
            </w:r>
            <w:r>
              <w:rPr>
                <w:rFonts w:ascii="宋体" w:hAnsi="宋体"/>
                <w:color w:val="000000"/>
                <w:szCs w:val="21"/>
              </w:rPr>
              <w:t>+</w:t>
            </w:r>
            <w:r>
              <w:rPr>
                <w:rFonts w:hint="eastAsia" w:ascii="宋体" w:hAnsi="宋体"/>
                <w:color w:val="000000"/>
                <w:szCs w:val="21"/>
              </w:rPr>
              <w:t>校外）。</w:t>
            </w:r>
            <w:r>
              <w:rPr>
                <w:rFonts w:hint="eastAsia" w:ascii="宋体" w:hAnsi="宋体"/>
                <w:b/>
                <w:color w:val="000000"/>
                <w:szCs w:val="21"/>
              </w:rPr>
              <w:t>学年内对校外开放人时数：</w:t>
            </w:r>
            <w:r>
              <w:rPr>
                <w:rFonts w:hint="eastAsia" w:ascii="宋体" w:hAnsi="宋体"/>
                <w:color w:val="000000"/>
                <w:szCs w:val="21"/>
              </w:rPr>
              <w:t>对应《高等学校实验室信息统计报表》中开放实验校外人时数。</w:t>
            </w:r>
          </w:p>
        </w:tc>
      </w:tr>
      <w:tr>
        <w:trPr>
          <w:trHeight w:val="49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表2-7-2 虚拟仿真实验教学项目（时点）</w:t>
            </w:r>
          </w:p>
        </w:tc>
        <w:tc>
          <w:tcPr>
            <w:tcW w:w="1086" w:type="dxa"/>
            <w:shd w:val="clear" w:color="auto" w:fill="auto"/>
            <w:vAlign w:val="center"/>
          </w:tcPr>
          <w:p>
            <w:pPr>
              <w:rPr>
                <w:rFonts w:hint="eastAsia" w:ascii="宋体" w:hAnsi="宋体" w:eastAsia="宋体" w:cs="仿宋_GB2312"/>
                <w:sz w:val="24"/>
                <w:lang w:eastAsia="zh-CN"/>
              </w:rPr>
            </w:pPr>
            <w:r>
              <w:rPr>
                <w:rFonts w:hint="eastAsia" w:ascii="宋体" w:hAnsi="宋体" w:cs="仿宋_GB2312"/>
                <w:sz w:val="24"/>
              </w:rPr>
              <w:t>教务处</w:t>
            </w:r>
            <w:r>
              <w:rPr>
                <w:rFonts w:hint="eastAsia" w:ascii="宋体" w:hAnsi="宋体" w:cs="仿宋_GB2312"/>
                <w:b/>
                <w:sz w:val="24"/>
                <w:lang w:val="en-US" w:eastAsia="zh-CN"/>
              </w:rPr>
              <w:t>课程与教材科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754245" cy="798830"/>
                  <wp:effectExtent l="0" t="0" r="8255" b="1270"/>
                  <wp:docPr id="17" name="图片 9"/>
                  <wp:cNvGraphicFramePr>
                    <a:graphicFrameLocks noChangeAspect="true"/>
                  </wp:cNvGraphicFramePr>
                  <a:graphic>
                    <a:graphicData uri="http://schemas.openxmlformats.org/drawingml/2006/picture">
                      <pic:pic>
                        <pic:nvPicPr>
                          <pic:cNvPr id="18" name="图片 9"/>
                          <pic:cNvPicPr>
                            <a:picLocks noChangeAspect="true"/>
                          </pic:cNvPicPr>
                        </pic:nvPicPr>
                        <pic:blipFill>
                          <a:blip r:embed="rId10"/>
                          <a:stretch>
                            <a:fillRect/>
                          </a:stretch>
                        </pic:blipFill>
                        <pic:spPr>
                          <a:xfrm>
                            <a:off x="0" y="0"/>
                            <a:ext cx="4754245" cy="799115"/>
                          </a:xfrm>
                          <a:prstGeom prst="rect">
                            <a:avLst/>
                          </a:prstGeom>
                        </pic:spPr>
                      </pic:pic>
                    </a:graphicData>
                  </a:graphic>
                </wp:inline>
              </w:drawing>
            </w:r>
          </w:p>
        </w:tc>
        <w:tc>
          <w:tcPr>
            <w:tcW w:w="4334" w:type="dxa"/>
            <w:shd w:val="clear" w:color="auto" w:fill="auto"/>
            <w:vAlign w:val="center"/>
          </w:tcPr>
          <w:p>
            <w:pPr>
              <w:pBdr/>
              <w:spacing w:line="276" w:lineRule="auto"/>
              <w:rPr>
                <w:rFonts w:hint="eastAsia" w:ascii="宋体" w:hAnsi="宋体"/>
                <w:color w:val="FF0000"/>
                <w:szCs w:val="21"/>
              </w:rPr>
            </w:pPr>
            <w:r>
              <w:rPr>
                <w:rFonts w:hint="eastAsia" w:ascii="宋体" w:hAnsi="宋体"/>
                <w:color w:val="FF0000"/>
                <w:szCs w:val="21"/>
              </w:rPr>
              <w:t>1.</w:t>
            </w:r>
            <w:r>
              <w:rPr>
                <w:rFonts w:hint="eastAsia" w:ascii="宋体" w:hAnsi="宋体"/>
                <w:color w:val="FF0000"/>
                <w:szCs w:val="21"/>
                <w:lang w:val="en-US" w:eastAsia="zh-CN"/>
              </w:rPr>
              <w:t>核对</w:t>
            </w:r>
            <w:r>
              <w:rPr>
                <w:rFonts w:hint="eastAsia" w:ascii="宋体" w:hAnsi="宋体"/>
                <w:color w:val="FF0000"/>
                <w:szCs w:val="21"/>
              </w:rPr>
              <w:t>截至</w:t>
            </w:r>
            <w:r>
              <w:rPr>
                <w:rFonts w:hint="eastAsia" w:ascii="宋体" w:hAnsi="宋体"/>
                <w:color w:val="FF0000"/>
                <w:szCs w:val="21"/>
                <w:lang w:val="en-US" w:eastAsia="zh-CN"/>
              </w:rPr>
              <w:t>当前</w:t>
            </w:r>
            <w:r>
              <w:rPr>
                <w:rFonts w:hint="eastAsia" w:ascii="宋体" w:hAnsi="宋体"/>
                <w:color w:val="FF0000"/>
                <w:szCs w:val="21"/>
              </w:rPr>
              <w:t>的虚拟仿真实验教学项目，如有错漏请补充</w:t>
            </w:r>
            <w:r>
              <w:rPr>
                <w:rFonts w:hint="eastAsia" w:ascii="宋体" w:hAnsi="宋体"/>
                <w:color w:val="FF0000"/>
                <w:szCs w:val="21"/>
              </w:rPr>
              <w:t>修正；</w:t>
            </w:r>
          </w:p>
          <w:p>
            <w:pPr>
              <w:spacing w:line="276" w:lineRule="auto"/>
              <w:rPr>
                <w:rFonts w:hint="eastAsia" w:ascii="宋体" w:hAnsi="宋体" w:eastAsia="宋体" w:cs="仿宋_GB2312"/>
                <w:sz w:val="24"/>
                <w:lang w:eastAsia="zh-CN"/>
              </w:rPr>
            </w:pPr>
            <w:r>
              <w:rPr>
                <w:rFonts w:hint="eastAsia" w:ascii="宋体" w:hAnsi="宋体"/>
                <w:color w:val="FF0000"/>
                <w:szCs w:val="21"/>
              </w:rPr>
              <w:t>2.</w:t>
            </w:r>
            <w:r>
              <w:rPr>
                <w:rFonts w:hint="eastAsia" w:ascii="宋体" w:hAnsi="宋体"/>
                <w:color w:val="FF0000"/>
                <w:szCs w:val="21"/>
              </w:rPr>
              <w:t>填报202</w:t>
            </w:r>
            <w:r>
              <w:rPr>
                <w:rFonts w:hint="eastAsia" w:ascii="宋体" w:hAnsi="宋体"/>
                <w:color w:val="FF0000"/>
                <w:szCs w:val="21"/>
                <w:lang w:val="en-US" w:eastAsia="zh-CN"/>
              </w:rPr>
              <w:t>3</w:t>
            </w:r>
            <w:r>
              <w:rPr>
                <w:rFonts w:hint="eastAsia" w:ascii="宋体" w:hAnsi="宋体"/>
                <w:color w:val="FF0000"/>
                <w:szCs w:val="21"/>
              </w:rPr>
              <w:t>-202</w:t>
            </w:r>
            <w:r>
              <w:rPr>
                <w:rFonts w:hint="eastAsia" w:ascii="宋体" w:hAnsi="宋体"/>
                <w:color w:val="FF0000"/>
                <w:szCs w:val="21"/>
                <w:lang w:val="en-US" w:eastAsia="zh-CN"/>
              </w:rPr>
              <w:t>4</w:t>
            </w:r>
            <w:r>
              <w:rPr>
                <w:rFonts w:hint="eastAsia" w:ascii="宋体" w:hAnsi="宋体"/>
                <w:color w:val="FF0000"/>
                <w:szCs w:val="21"/>
              </w:rPr>
              <w:t>学年</w:t>
            </w:r>
            <w:r>
              <w:rPr>
                <w:rFonts w:hint="eastAsia" w:ascii="宋体" w:hAnsi="宋体"/>
                <w:color w:val="FF0000"/>
                <w:szCs w:val="21"/>
              </w:rPr>
              <w:t>期间</w:t>
            </w:r>
            <w:r>
              <w:rPr>
                <w:rFonts w:hint="eastAsia" w:ascii="宋体" w:hAnsi="宋体"/>
                <w:color w:val="FF0000"/>
                <w:szCs w:val="21"/>
              </w:rPr>
              <w:t>项目承担</w:t>
            </w:r>
            <w:r>
              <w:rPr>
                <w:rFonts w:hint="eastAsia" w:ascii="宋体" w:hAnsi="宋体"/>
                <w:color w:val="FF0000"/>
                <w:szCs w:val="21"/>
              </w:rPr>
              <w:t>的</w:t>
            </w:r>
            <w:r>
              <w:rPr>
                <w:rFonts w:hint="eastAsia" w:ascii="宋体" w:hAnsi="宋体"/>
                <w:color w:val="FF0000"/>
                <w:szCs w:val="21"/>
              </w:rPr>
              <w:t>本校教学人时数、项目浏览数和项目参与人数</w:t>
            </w:r>
            <w:r>
              <w:rPr>
                <w:rFonts w:hint="eastAsia" w:ascii="宋体" w:hAnsi="宋体"/>
                <w:color w:val="FF0000"/>
                <w:szCs w:val="21"/>
                <w:lang w:eastAsia="zh-CN"/>
              </w:rPr>
              <w:t>。</w:t>
            </w:r>
          </w:p>
        </w:tc>
      </w:tr>
      <w:tr>
        <w:trPr>
          <w:trHeight w:val="285" w:hRule="atLeast"/>
        </w:trPr>
        <w:tc>
          <w:tcPr>
            <w:tcW w:w="15474" w:type="dxa"/>
            <w:gridSpan w:val="4"/>
            <w:shd w:val="clear" w:color="auto" w:fill="auto"/>
            <w:vAlign w:val="center"/>
          </w:tcPr>
          <w:p>
            <w:pPr>
              <w:rPr>
                <w:rFonts w:ascii="宋体" w:hAnsi="宋体" w:cs="仿宋_GB2312"/>
                <w:b/>
                <w:sz w:val="24"/>
              </w:rPr>
            </w:pPr>
            <w:r>
              <w:rPr>
                <w:rFonts w:hint="eastAsia" w:ascii="宋体" w:hAnsi="宋体" w:cs="仿宋_GB2312"/>
                <w:b/>
                <w:sz w:val="24"/>
              </w:rPr>
              <w:t>3.教职工信息</w:t>
            </w:r>
          </w:p>
        </w:tc>
      </w:tr>
      <w:tr>
        <w:trPr>
          <w:trHeight w:val="285" w:hRule="atLeast"/>
        </w:trPr>
        <w:tc>
          <w:tcPr>
            <w:tcW w:w="2079" w:type="dxa"/>
            <w:shd w:val="clear" w:color="auto" w:fill="auto"/>
            <w:vAlign w:val="center"/>
          </w:tcPr>
          <w:p>
            <w:pPr>
              <w:rPr>
                <w:rFonts w:ascii="宋体" w:hAnsi="宋体" w:cs="仿宋_GB2312"/>
                <w:sz w:val="24"/>
                <w:highlight w:val="none"/>
              </w:rPr>
            </w:pPr>
            <w:r>
              <w:rPr>
                <w:rFonts w:hint="eastAsia" w:ascii="宋体" w:hAnsi="宋体" w:cs="仿宋_GB2312"/>
                <w:sz w:val="24"/>
                <w:highlight w:val="none"/>
              </w:rPr>
              <w:t>表3-3-2 高层次教学、研究团队（时点）</w:t>
            </w:r>
          </w:p>
        </w:tc>
        <w:tc>
          <w:tcPr>
            <w:tcW w:w="1086" w:type="dxa"/>
            <w:shd w:val="clear" w:color="auto" w:fill="auto"/>
            <w:vAlign w:val="center"/>
          </w:tcPr>
          <w:p>
            <w:pPr>
              <w:rPr>
                <w:rFonts w:ascii="宋体" w:hAnsi="宋体" w:cs="仿宋_GB2312"/>
                <w:sz w:val="24"/>
                <w:highlight w:val="none"/>
              </w:rPr>
            </w:pPr>
            <w:r>
              <w:rPr>
                <w:rFonts w:hint="eastAsia" w:ascii="宋体" w:hAnsi="宋体" w:cs="仿宋_GB2312"/>
                <w:sz w:val="24"/>
                <w:highlight w:val="none"/>
              </w:rPr>
              <w:t>教务处</w:t>
            </w:r>
            <w:r>
              <w:rPr>
                <w:rFonts w:hint="eastAsia" w:ascii="宋体" w:hAnsi="宋体" w:cs="仿宋_GB2312"/>
                <w:b/>
                <w:sz w:val="24"/>
                <w:highlight w:val="none"/>
              </w:rPr>
              <w:t>教学科</w:t>
            </w:r>
            <w:r>
              <w:rPr>
                <w:rFonts w:hint="eastAsia" w:ascii="宋体" w:hAnsi="宋体" w:cs="仿宋_GB2312"/>
                <w:sz w:val="24"/>
                <w:highlight w:val="none"/>
              </w:rPr>
              <w:t>、科技处、社科处</w:t>
            </w:r>
          </w:p>
        </w:tc>
        <w:tc>
          <w:tcPr>
            <w:tcW w:w="7975" w:type="dxa"/>
            <w:shd w:val="clear" w:color="auto" w:fill="auto"/>
            <w:vAlign w:val="center"/>
          </w:tcPr>
          <w:p>
            <w:pPr>
              <w:rPr>
                <w:rFonts w:ascii="宋体" w:hAnsi="宋体" w:cs="仿宋_GB2312"/>
                <w:sz w:val="24"/>
                <w:highlight w:val="none"/>
              </w:rPr>
            </w:pPr>
            <w:r>
              <w:rPr>
                <w:rFonts w:ascii="宋体" w:hAnsi="宋体"/>
                <w:highlight w:val="none"/>
              </w:rPr>
              <w:drawing>
                <wp:inline distT="0" distB="0" distL="0" distR="0">
                  <wp:extent cx="4578985" cy="852170"/>
                  <wp:effectExtent l="0" t="0" r="12065" b="5080"/>
                  <wp:docPr id="20" name="图片 10"/>
                  <wp:cNvGraphicFramePr>
                    <a:graphicFrameLocks noChangeAspect="true"/>
                  </wp:cNvGraphicFramePr>
                  <a:graphic>
                    <a:graphicData uri="http://schemas.openxmlformats.org/drawingml/2006/picture">
                      <pic:pic>
                        <pic:nvPicPr>
                          <pic:cNvPr id="21" name="图片 10"/>
                          <pic:cNvPicPr>
                            <a:picLocks noChangeAspect="true"/>
                          </pic:cNvPicPr>
                        </pic:nvPicPr>
                        <pic:blipFill>
                          <a:blip r:embed="rId11"/>
                          <a:stretch>
                            <a:fillRect/>
                          </a:stretch>
                        </pic:blipFill>
                        <pic:spPr>
                          <a:xfrm>
                            <a:off x="0" y="0"/>
                            <a:ext cx="4578985" cy="852170"/>
                          </a:xfrm>
                          <a:prstGeom prst="rect">
                            <a:avLst/>
                          </a:prstGeom>
                        </pic:spPr>
                      </pic:pic>
                    </a:graphicData>
                  </a:graphic>
                </wp:inline>
              </w:drawing>
            </w:r>
          </w:p>
        </w:tc>
        <w:tc>
          <w:tcPr>
            <w:tcW w:w="4334" w:type="dxa"/>
            <w:shd w:val="clear" w:color="auto" w:fill="auto"/>
            <w:vAlign w:val="center"/>
          </w:tcPr>
          <w:p>
            <w:pPr>
              <w:keepNext w:val="false"/>
              <w:keepLines w:val="false"/>
              <w:pageBreakBefore w:val="false"/>
              <w:widowControl w:val="false"/>
              <w:kinsoku/>
              <w:wordWrap/>
              <w:overflowPunct/>
              <w:topLinePunct w:val="false"/>
              <w:autoSpaceDE/>
              <w:autoSpaceDN/>
              <w:bidi w:val="false"/>
              <w:adjustRightInd w:val="false"/>
              <w:snapToGrid w:val="false"/>
              <w:textAlignment w:val="auto"/>
              <w:rPr>
                <w:rFonts w:ascii="宋体" w:hAnsi="宋体"/>
                <w:color w:val="000000"/>
                <w:szCs w:val="21"/>
                <w:highlight w:val="none"/>
              </w:rPr>
            </w:pPr>
            <w:r>
              <w:rPr>
                <w:rFonts w:ascii="宋体" w:hAnsi="宋体"/>
                <w:b/>
                <w:color w:val="000000"/>
                <w:szCs w:val="21"/>
                <w:highlight w:val="none"/>
              </w:rPr>
              <w:t>高层次团队：</w:t>
            </w:r>
            <w:r>
              <w:rPr>
                <w:rFonts w:ascii="宋体" w:hAnsi="宋体"/>
                <w:color w:val="000000"/>
                <w:szCs w:val="21"/>
                <w:highlight w:val="none"/>
              </w:rPr>
              <w:t>以高层次人才为核心组建的教学或研究团队。包括国家级教学团队、</w:t>
            </w:r>
            <w:r>
              <w:rPr>
                <w:rFonts w:hint="eastAsia" w:ascii="宋体" w:hAnsi="宋体"/>
                <w:color w:val="FF0000"/>
                <w:szCs w:val="21"/>
                <w:highlight w:val="none"/>
              </w:rPr>
              <w:t>黄大年式教师团队、</w:t>
            </w:r>
            <w:r>
              <w:rPr>
                <w:rFonts w:ascii="宋体" w:hAnsi="宋体"/>
                <w:color w:val="000000"/>
                <w:szCs w:val="21"/>
                <w:highlight w:val="none"/>
              </w:rPr>
              <w:t>省部级教学团队、教育部创新团队、国家自然科学基金委创新研究群体、</w:t>
            </w:r>
            <w:r>
              <w:rPr>
                <w:rFonts w:hint="eastAsia" w:ascii="宋体" w:hAnsi="宋体"/>
                <w:color w:val="000000"/>
                <w:szCs w:val="21"/>
                <w:highlight w:val="none"/>
              </w:rPr>
              <w:t>科技部重点领域创新团队</w:t>
            </w:r>
            <w:r>
              <w:rPr>
                <w:rFonts w:hint="eastAsia" w:ascii="宋体" w:hAnsi="宋体"/>
                <w:color w:val="FF0000"/>
                <w:szCs w:val="21"/>
                <w:highlight w:val="none"/>
              </w:rPr>
              <w:t>、</w:t>
            </w:r>
            <w:r>
              <w:rPr>
                <w:rFonts w:ascii="宋体" w:hAnsi="宋体"/>
                <w:color w:val="FF0000"/>
                <w:szCs w:val="21"/>
                <w:highlight w:val="none"/>
              </w:rPr>
              <w:t>省级高层次研究团队</w:t>
            </w:r>
            <w:r>
              <w:rPr>
                <w:rFonts w:hint="eastAsia" w:ascii="宋体" w:hAnsi="宋体"/>
                <w:color w:val="FF0000"/>
                <w:szCs w:val="21"/>
                <w:highlight w:val="none"/>
              </w:rPr>
              <w:t>、国家级课程思政教学团队、省级课程思政教学团队、国家级思政课程教学团队、省级思政课程教学团队</w:t>
            </w:r>
            <w:r>
              <w:rPr>
                <w:rFonts w:ascii="宋体" w:hAnsi="宋体"/>
                <w:color w:val="FF0000"/>
                <w:szCs w:val="21"/>
                <w:highlight w:val="none"/>
              </w:rPr>
              <w:t>。</w:t>
            </w:r>
          </w:p>
          <w:p>
            <w:pPr>
              <w:keepNext w:val="false"/>
              <w:keepLines w:val="false"/>
              <w:pageBreakBefore w:val="false"/>
              <w:widowControl w:val="false"/>
              <w:kinsoku/>
              <w:wordWrap/>
              <w:overflowPunct/>
              <w:topLinePunct w:val="false"/>
              <w:autoSpaceDE/>
              <w:autoSpaceDN/>
              <w:bidi w:val="false"/>
              <w:adjustRightInd w:val="false"/>
              <w:snapToGrid w:val="false"/>
              <w:textAlignment w:val="auto"/>
              <w:rPr>
                <w:rFonts w:ascii="宋体" w:hAnsi="宋体"/>
                <w:color w:val="000000"/>
                <w:highlight w:val="none"/>
              </w:rPr>
            </w:pPr>
            <w:r>
              <w:rPr>
                <w:rFonts w:hint="eastAsia" w:ascii="宋体" w:hAnsi="宋体"/>
                <w:b/>
                <w:color w:val="000000"/>
                <w:szCs w:val="21"/>
                <w:highlight w:val="none"/>
              </w:rPr>
              <w:t>注：</w:t>
            </w:r>
            <w:r>
              <w:rPr>
                <w:rFonts w:ascii="宋体" w:hAnsi="宋体"/>
                <w:color w:val="000000"/>
                <w:szCs w:val="21"/>
                <w:highlight w:val="none"/>
              </w:rPr>
              <w:t>同一团队所获称号就高</w:t>
            </w:r>
            <w:r>
              <w:rPr>
                <w:rFonts w:ascii="宋体" w:hAnsi="宋体"/>
                <w:color w:val="000000"/>
                <w:highlight w:val="none"/>
              </w:rPr>
              <w:t>填报。</w:t>
            </w:r>
          </w:p>
          <w:p>
            <w:pPr>
              <w:keepNext w:val="false"/>
              <w:keepLines w:val="false"/>
              <w:pageBreakBefore w:val="false"/>
              <w:widowControl w:val="false"/>
              <w:kinsoku/>
              <w:wordWrap/>
              <w:overflowPunct/>
              <w:topLinePunct w:val="false"/>
              <w:autoSpaceDE/>
              <w:autoSpaceDN/>
              <w:bidi w:val="false"/>
              <w:textAlignment w:val="auto"/>
              <w:rPr>
                <w:rFonts w:hint="eastAsia" w:ascii="宋体" w:hAnsi="宋体" w:eastAsia="宋体" w:cs="宋体"/>
                <w:b w:val="false"/>
                <w:bCs/>
                <w:sz w:val="21"/>
                <w:szCs w:val="21"/>
                <w:highlight w:val="yellow"/>
                <w:lang w:val="en-US" w:eastAsia="zh-CN"/>
              </w:rPr>
            </w:pPr>
            <w:r>
              <w:rPr>
                <w:rFonts w:hint="eastAsia" w:ascii="宋体" w:hAnsi="宋体" w:cs="宋体"/>
                <w:b w:val="false"/>
                <w:bCs/>
                <w:sz w:val="21"/>
                <w:szCs w:val="21"/>
                <w:lang w:val="en-US" w:eastAsia="zh-CN"/>
              </w:rPr>
              <w:t>校验关系：</w:t>
            </w:r>
            <w:r>
              <w:rPr>
                <w:rFonts w:hint="eastAsia" w:ascii="宋体" w:hAnsi="宋体" w:eastAsia="宋体" w:cs="宋体"/>
                <w:b w:val="false"/>
                <w:bCs/>
                <w:color w:val="FF0000"/>
                <w:sz w:val="21"/>
                <w:szCs w:val="21"/>
                <w:highlight w:val="none"/>
                <w:lang w:val="en-US" w:eastAsia="zh-CN"/>
              </w:rPr>
              <w:t>获得时间：填报到“年”。</w:t>
            </w:r>
          </w:p>
          <w:p>
            <w:pPr>
              <w:keepNext w:val="false"/>
              <w:keepLines w:val="false"/>
              <w:pageBreakBefore w:val="false"/>
              <w:widowControl w:val="false"/>
              <w:kinsoku/>
              <w:wordWrap/>
              <w:overflowPunct/>
              <w:topLinePunct w:val="false"/>
              <w:autoSpaceDE/>
              <w:autoSpaceDN/>
              <w:bidi w:val="false"/>
              <w:textAlignment w:val="auto"/>
              <w:rPr>
                <w:rFonts w:ascii="宋体" w:hAnsi="宋体"/>
                <w:color w:val="000000"/>
                <w:highlight w:val="none"/>
              </w:rPr>
            </w:pPr>
            <w:r>
              <w:rPr>
                <w:rFonts w:hint="eastAsia" w:ascii="宋体" w:hAnsi="宋体" w:eastAsia="宋体" w:cs="宋体"/>
                <w:b w:val="false"/>
                <w:bCs/>
                <w:sz w:val="21"/>
                <w:szCs w:val="21"/>
                <w:lang w:val="en-US" w:eastAsia="zh-CN"/>
              </w:rPr>
              <w:t>同一团队所获称号就高填报。</w:t>
            </w:r>
            <w:r>
              <w:rPr>
                <w:rFonts w:hint="eastAsia" w:ascii="宋体" w:hAnsi="宋体" w:eastAsia="宋体" w:cs="宋体"/>
                <w:b w:val="false"/>
                <w:bCs/>
                <w:color w:val="000000"/>
                <w:kern w:val="0"/>
                <w:sz w:val="21"/>
                <w:szCs w:val="21"/>
              </w:rPr>
              <w:t>“团队名称+负责人工号+类型”不能重复；2.获得时间≤填报年度。</w:t>
            </w:r>
            <w:r>
              <w:rPr>
                <w:rFonts w:hint="eastAsia" w:ascii="宋体" w:hAnsi="宋体" w:cs="宋体"/>
                <w:b w:val="false"/>
                <w:bCs/>
                <w:color w:val="000000"/>
                <w:kern w:val="0"/>
                <w:sz w:val="21"/>
                <w:szCs w:val="21"/>
                <w:lang w:val="en-US" w:eastAsia="zh-CN"/>
              </w:rPr>
              <w:t>3.</w:t>
            </w:r>
            <w:r>
              <w:rPr>
                <w:rFonts w:hint="eastAsia" w:ascii="宋体" w:hAnsi="宋体" w:eastAsia="宋体" w:cs="宋体"/>
                <w:b w:val="false"/>
                <w:bCs/>
                <w:color w:val="000000"/>
                <w:kern w:val="0"/>
                <w:sz w:val="21"/>
                <w:szCs w:val="21"/>
              </w:rPr>
              <w:t>“工号”、“姓名”与表1-5-1或表1-5-4“工号”、“姓名”和“单位号”“单位名称”保持一致。</w:t>
            </w:r>
          </w:p>
        </w:tc>
      </w:tr>
      <w:tr>
        <w:trPr>
          <w:trHeight w:val="1844"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表3-5-1 教师出版专著和主编教材情况（自然年）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科技处、社科处、教务处</w:t>
            </w:r>
            <w:r>
              <w:rPr>
                <w:rFonts w:hint="eastAsia" w:ascii="宋体" w:hAnsi="宋体" w:cs="仿宋_GB2312"/>
                <w:b/>
                <w:bCs/>
                <w:sz w:val="24"/>
              </w:rPr>
              <w:t>课程与教材科</w:t>
            </w:r>
          </w:p>
        </w:tc>
        <w:tc>
          <w:tcPr>
            <w:tcW w:w="7975" w:type="dxa"/>
            <w:shd w:val="clear" w:color="auto" w:fill="auto"/>
            <w:vAlign w:val="center"/>
          </w:tcPr>
          <w:p>
            <w:pPr>
              <w:jc w:val="center"/>
              <w:rPr>
                <w:rFonts w:ascii="宋体" w:hAnsi="宋体" w:cs="仿宋_GB2312"/>
                <w:sz w:val="24"/>
              </w:rPr>
            </w:pPr>
            <w:r>
              <w:rPr>
                <w:rFonts w:ascii="宋体" w:hAnsi="宋体"/>
              </w:rPr>
              <w:drawing>
                <wp:inline distT="0" distB="0" distL="0" distR="0">
                  <wp:extent cx="5039995" cy="633095"/>
                  <wp:effectExtent l="0" t="0" r="8255" b="14605"/>
                  <wp:docPr id="23" name="图片 11"/>
                  <wp:cNvGraphicFramePr>
                    <a:graphicFrameLocks noChangeAspect="true"/>
                  </wp:cNvGraphicFramePr>
                  <a:graphic>
                    <a:graphicData uri="http://schemas.openxmlformats.org/drawingml/2006/picture">
                      <pic:pic>
                        <pic:nvPicPr>
                          <pic:cNvPr id="24" name="图片 11"/>
                          <pic:cNvPicPr>
                            <a:picLocks noChangeAspect="true"/>
                          </pic:cNvPicPr>
                        </pic:nvPicPr>
                        <pic:blipFill>
                          <a:blip r:embed="rId12"/>
                          <a:srcRect t="3107" b="1"/>
                          <a:stretch>
                            <a:fillRect/>
                          </a:stretch>
                        </pic:blipFill>
                        <pic:spPr>
                          <a:xfrm>
                            <a:off x="0" y="0"/>
                            <a:ext cx="5040000" cy="633367"/>
                          </a:xfrm>
                          <a:prstGeom prst="rect">
                            <a:avLst/>
                          </a:prstGeom>
                          <a:ln>
                            <a:noFill/>
                          </a:ln>
                        </pic:spPr>
                      </pic:pic>
                    </a:graphicData>
                  </a:graphic>
                </wp:inline>
              </w:drawing>
            </w:r>
          </w:p>
        </w:tc>
        <w:tc>
          <w:tcPr>
            <w:tcW w:w="4334" w:type="dxa"/>
            <w:shd w:val="clear" w:color="auto" w:fill="auto"/>
            <w:vAlign w:val="center"/>
          </w:tcPr>
          <w:p>
            <w:pPr>
              <w:pBdr/>
              <w:rPr>
                <w:rFonts w:hint="eastAsia" w:ascii="宋体" w:hAnsi="宋体"/>
                <w:color w:val="000000"/>
                <w:szCs w:val="21"/>
              </w:rPr>
            </w:pPr>
            <w:r>
              <w:rPr>
                <w:rFonts w:hint="eastAsia" w:ascii="宋体" w:hAnsi="宋体"/>
                <w:b/>
                <w:color w:val="000000"/>
                <w:szCs w:val="21"/>
              </w:rPr>
              <w:t>教材：</w:t>
            </w:r>
            <w:r>
              <w:rPr>
                <w:rFonts w:hint="eastAsia" w:ascii="宋体" w:hAnsi="宋体"/>
                <w:color w:val="000000"/>
                <w:szCs w:val="21"/>
              </w:rPr>
              <w:t>指</w:t>
            </w:r>
            <w:r>
              <w:rPr>
                <w:rFonts w:ascii="宋体" w:hAnsi="宋体"/>
                <w:color w:val="FF0000"/>
                <w:kern w:val="0"/>
                <w:szCs w:val="21"/>
              </w:rPr>
              <w:t>本校教师作为</w:t>
            </w:r>
            <w:r>
              <w:rPr>
                <w:rFonts w:ascii="宋体" w:hAnsi="宋体"/>
                <w:b/>
                <w:color w:val="000000"/>
                <w:kern w:val="0"/>
                <w:szCs w:val="21"/>
              </w:rPr>
              <w:t>第一主编</w:t>
            </w:r>
            <w:r>
              <w:rPr>
                <w:rFonts w:ascii="宋体" w:hAnsi="宋体"/>
                <w:color w:val="000000"/>
                <w:kern w:val="0"/>
                <w:szCs w:val="21"/>
              </w:rPr>
              <w:t>的公开出版教材</w:t>
            </w:r>
            <w:r>
              <w:rPr>
                <w:rFonts w:hint="eastAsia" w:ascii="宋体" w:hAnsi="宋体"/>
                <w:color w:val="000000"/>
                <w:szCs w:val="21"/>
              </w:rPr>
              <w:t>。</w:t>
            </w:r>
          </w:p>
          <w:p>
            <w:pPr>
              <w:rPr>
                <w:rFonts w:hint="eastAsia" w:ascii="宋体" w:hAnsi="宋体"/>
                <w:color w:val="000000"/>
                <w:szCs w:val="21"/>
              </w:rPr>
            </w:pPr>
            <w:r>
              <w:rPr>
                <w:rFonts w:hint="eastAsia" w:ascii="宋体" w:hAnsi="宋体"/>
                <w:b/>
                <w:color w:val="000000"/>
                <w:szCs w:val="21"/>
              </w:rPr>
              <w:t>对应类别：</w:t>
            </w:r>
            <w:r>
              <w:rPr>
                <w:rFonts w:hint="eastAsia" w:ascii="宋体" w:hAnsi="宋体"/>
                <w:color w:val="000000"/>
                <w:szCs w:val="21"/>
              </w:rPr>
              <w:t>教材。</w:t>
            </w:r>
          </w:p>
          <w:p>
            <w:pPr>
              <w:rPr>
                <w:rFonts w:ascii="宋体" w:hAnsi="宋体" w:cs="仿宋_GB2312"/>
                <w:sz w:val="24"/>
              </w:rPr>
            </w:pPr>
            <w:r>
              <w:rPr>
                <w:rFonts w:hint="eastAsia" w:ascii="宋体" w:hAnsi="宋体"/>
                <w:color w:val="000000"/>
                <w:szCs w:val="21"/>
              </w:rPr>
              <w:t>填写202</w:t>
            </w:r>
            <w:r>
              <w:rPr>
                <w:rFonts w:hint="eastAsia" w:ascii="宋体" w:hAnsi="宋体"/>
                <w:color w:val="000000"/>
                <w:szCs w:val="21"/>
                <w:lang w:val="en-US" w:eastAsia="zh-CN"/>
              </w:rPr>
              <w:t>3</w:t>
            </w:r>
            <w:r>
              <w:rPr>
                <w:rFonts w:hint="eastAsia" w:ascii="宋体" w:hAnsi="宋体"/>
                <w:color w:val="000000"/>
                <w:szCs w:val="21"/>
              </w:rPr>
              <w:t>年1月1日</w:t>
            </w:r>
            <w:r>
              <w:rPr>
                <w:rFonts w:hint="eastAsia" w:ascii="宋体" w:hAnsi="宋体"/>
                <w:color w:val="000000"/>
                <w:szCs w:val="21"/>
              </w:rPr>
              <w:t>至今</w:t>
            </w:r>
            <w:r>
              <w:rPr>
                <w:rFonts w:hint="eastAsia" w:ascii="宋体" w:hAnsi="宋体"/>
                <w:color w:val="000000"/>
                <w:szCs w:val="21"/>
              </w:rPr>
              <w:t>出版的教材，按出版时间先后排序</w:t>
            </w:r>
            <w:r>
              <w:rPr>
                <w:rFonts w:hint="eastAsia" w:ascii="宋体" w:hAnsi="宋体"/>
                <w:color w:val="000000"/>
                <w:szCs w:val="21"/>
                <w:lang w:eastAsia="zh-CN"/>
              </w:rPr>
              <w:t>。</w:t>
            </w:r>
            <w:r>
              <w:rPr>
                <w:rFonts w:hint="eastAsia" w:ascii="宋体" w:hAnsi="宋体"/>
                <w:color w:val="FF0000"/>
                <w:szCs w:val="21"/>
              </w:rPr>
              <w:t>教材使用范围填写本科、专科（含高职、成高）或研究生等。</w:t>
            </w:r>
            <w:r>
              <w:rPr>
                <w:rFonts w:hint="eastAsia" w:ascii="宋体" w:hAnsi="宋体"/>
                <w:color w:val="000000"/>
                <w:szCs w:val="21"/>
              </w:rPr>
              <w:tab/>
            </w:r>
          </w:p>
        </w:tc>
      </w:tr>
      <w:tr>
        <w:trPr>
          <w:trHeight w:val="285" w:hRule="atLeast"/>
        </w:trPr>
        <w:tc>
          <w:tcPr>
            <w:tcW w:w="15474" w:type="dxa"/>
            <w:gridSpan w:val="4"/>
            <w:shd w:val="clear" w:color="auto" w:fill="auto"/>
            <w:vAlign w:val="center"/>
          </w:tcPr>
          <w:p>
            <w:pPr>
              <w:rPr>
                <w:rFonts w:ascii="宋体" w:hAnsi="宋体" w:cs="仿宋_GB2312"/>
                <w:b/>
                <w:sz w:val="24"/>
              </w:rPr>
            </w:pPr>
            <w:r>
              <w:rPr>
                <w:rFonts w:hint="eastAsia" w:ascii="宋体" w:hAnsi="宋体" w:cs="仿宋_GB2312"/>
                <w:b/>
                <w:sz w:val="24"/>
              </w:rPr>
              <w:t>4.学科专业</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表4-2  专业培养计划表（时点）</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教学科</w:t>
            </w:r>
          </w:p>
        </w:tc>
        <w:tc>
          <w:tcPr>
            <w:tcW w:w="7975" w:type="dxa"/>
            <w:shd w:val="clear" w:color="auto" w:fill="auto"/>
            <w:vAlign w:val="center"/>
          </w:tcPr>
          <w:p>
            <w:pPr>
              <w:rPr>
                <w:rFonts w:ascii="宋体" w:hAnsi="宋体"/>
              </w:rPr>
            </w:pPr>
            <w:r>
              <w:rPr>
                <w:rFonts w:ascii="宋体" w:hAnsi="宋体"/>
              </w:rPr>
              <w:drawing>
                <wp:inline distT="0" distB="0" distL="0" distR="0">
                  <wp:extent cx="4898390" cy="1439545"/>
                  <wp:effectExtent l="0" t="0" r="16510" b="8255"/>
                  <wp:docPr id="26" name="图片 12"/>
                  <wp:cNvGraphicFramePr>
                    <a:graphicFrameLocks noChangeAspect="true"/>
                  </wp:cNvGraphicFramePr>
                  <a:graphic>
                    <a:graphicData uri="http://schemas.openxmlformats.org/drawingml/2006/picture">
                      <pic:pic>
                        <pic:nvPicPr>
                          <pic:cNvPr id="27" name="图片 12"/>
                          <pic:cNvPicPr>
                            <a:picLocks noChangeAspect="true"/>
                          </pic:cNvPicPr>
                        </pic:nvPicPr>
                        <pic:blipFill>
                          <a:blip r:embed="rId13"/>
                          <a:stretch>
                            <a:fillRect/>
                          </a:stretch>
                        </pic:blipFill>
                        <pic:spPr>
                          <a:xfrm>
                            <a:off x="0" y="0"/>
                            <a:ext cx="4898390" cy="1439545"/>
                          </a:xfrm>
                          <a:prstGeom prst="rect">
                            <a:avLst/>
                          </a:prstGeom>
                        </pic:spPr>
                      </pic:pic>
                    </a:graphicData>
                  </a:graphic>
                </wp:inline>
              </w:drawing>
            </w:r>
            <w:r>
              <w:rPr>
                <w:sz w:val="21"/>
              </w:rPr>
              <w:drawing>
                <wp:anchor distT="0" distB="0" distL="114300" distR="114300" simplePos="false" relativeHeight="251662336" behindDoc="false" locked="false" layoutInCell="true" allowOverlap="true">
                  <wp:simplePos x="0" y="0"/>
                  <wp:positionH relativeFrom="column">
                    <wp:posOffset>3258820</wp:posOffset>
                  </wp:positionH>
                  <wp:positionV relativeFrom="paragraph">
                    <wp:posOffset>805180</wp:posOffset>
                  </wp:positionV>
                  <wp:extent cx="1055370" cy="723265"/>
                  <wp:effectExtent l="12700" t="12700" r="17780" b="26035"/>
                  <wp:wrapNone/>
                  <wp:docPr id="29" name="矩形 28"/>
                  <wp:cNvGraphicFramePr/>
                  <a:graphic>
                    <a:graphicData uri="http://schemas.microsoft.com/office/word/2010/wordprocessingShape">
                      <wps:wsp>
                        <wps:cNvSpPr/>
                        <wps:spPr>
                          <a:xfrm>
                            <a:off x="6165215" y="1683385"/>
                            <a:ext cx="1055370" cy="723265"/>
                          </a:xfrm>
                          <a:prstGeom prst="rect">
                            <a:avLst/>
                          </a:prstGeom>
                          <a:ln>
                            <a:solidFill>
                              <a:srgbClr val="FF0000"/>
                            </a:solidFill>
                          </a:ln>
                        </wps:spPr>
                        <wps:style>
                          <a:lnRef idx="2">
                            <a:schemeClr val="accent1"/>
                          </a:lnRef>
                          <a:fillRef idx="0">
                            <a:srgbClr val="FFFFFF"/>
                          </a:fillRef>
                          <a:effectRef idx="0">
                            <a:srgbClr val="FFFFFF"/>
                          </a:effectRef>
                          <a:fontRef idx="minor">
                            <a:schemeClr val="dk1"/>
                          </a:fontRef>
                        </wps:style>
                        <wps:bodyPr rot="0" spcFirstLastPara="false" vertOverflow="overflow" horzOverflow="overflow" vert="horz" wrap="square" lIns="91440" tIns="45720" rIns="91440" bIns="45720" numCol="1" spcCol="0" rtlCol="false" fromWordArt="false" anchor="ctr" anchorCtr="false" forceAA="false" compatLnSpc="true">
                          <a:noAutofit/>
                        </wps:bodyPr>
                      </wps:wsp>
                    </a:graphicData>
                  </a:graphic>
                </wp:anchor>
              </w:drawing>
            </w:r>
            <w:r>
              <w:rPr>
                <w:sz w:val="21"/>
              </w:rPr>
              <w:drawing>
                <wp:anchor distT="0" distB="0" distL="114300" distR="114300" simplePos="false" relativeHeight="251659264" behindDoc="false" locked="false" layoutInCell="true" allowOverlap="true">
                  <wp:simplePos x="0" y="0"/>
                  <wp:positionH relativeFrom="column">
                    <wp:posOffset>2031365</wp:posOffset>
                  </wp:positionH>
                  <wp:positionV relativeFrom="paragraph">
                    <wp:posOffset>805180</wp:posOffset>
                  </wp:positionV>
                  <wp:extent cx="1205230" cy="737235"/>
                  <wp:effectExtent l="12700" t="12700" r="20320" b="31115"/>
                  <wp:wrapNone/>
                  <wp:docPr id="31" name="矩形 5"/>
                  <wp:cNvGraphicFramePr/>
                  <a:graphic>
                    <a:graphicData uri="http://schemas.microsoft.com/office/word/2010/wordprocessingShape">
                      <wps:wsp>
                        <wps:cNvSpPr/>
                        <wps:spPr>
                          <a:xfrm>
                            <a:off x="4711065" y="1674495"/>
                            <a:ext cx="1205230" cy="737235"/>
                          </a:xfrm>
                          <a:prstGeom prst="rect">
                            <a:avLst/>
                          </a:prstGeom>
                          <a:noFill/>
                        </wps:spPr>
                        <wps:style>
                          <a:lnRef idx="2">
                            <a:schemeClr val="accent1">
                              <a:lumMod val="75000"/>
                            </a:schemeClr>
                          </a:lnRef>
                          <a:fillRef idx="1">
                            <a:schemeClr val="accent1"/>
                          </a:fillRef>
                          <a:effectRef idx="0">
                            <a:srgbClr val="FFFFFF"/>
                          </a:effectRef>
                          <a:fontRef idx="minor">
                            <a:schemeClr val="lt1"/>
                          </a:fontRef>
                        </wps:style>
                        <wps:bodyPr rot="0" spcFirstLastPara="false" vertOverflow="overflow" horzOverflow="overflow" vert="horz" wrap="square" lIns="91440" tIns="45720" rIns="91440" bIns="45720" numCol="1" spcCol="0" rtlCol="false" fromWordArt="false" anchor="ctr" anchorCtr="false" forceAA="false" compatLnSpc="true">
                          <a:noAutofit/>
                        </wps:bodyPr>
                      </wps:wsp>
                    </a:graphicData>
                  </a:graphic>
                </wp:anchor>
              </w:drawing>
            </w:r>
            <w:r>
              <w:rPr>
                <w:rFonts w:hint="eastAsia" w:eastAsiaTheme="minorEastAsia"/>
                <w:lang w:eastAsia="zh-CN"/>
              </w:rPr>
              <w:drawing>
                <wp:anchor distT="0" distB="0" distL="114300" distR="114300" simplePos="false" relativeHeight="251660288" behindDoc="true" locked="false" layoutInCell="true" allowOverlap="true">
                  <wp:simplePos x="0" y="0"/>
                  <wp:positionH relativeFrom="column">
                    <wp:posOffset>7620</wp:posOffset>
                  </wp:positionH>
                  <wp:positionV relativeFrom="paragraph">
                    <wp:posOffset>1713865</wp:posOffset>
                  </wp:positionV>
                  <wp:extent cx="3955415" cy="4264660"/>
                  <wp:effectExtent l="0" t="0" r="6985" b="0"/>
                  <wp:wrapTight wrapText="bothSides">
                    <wp:wrapPolygon>
                      <wp:start x="0" y="0"/>
                      <wp:lineTo x="0" y="21516"/>
                      <wp:lineTo x="21534" y="21516"/>
                      <wp:lineTo x="21534" y="0"/>
                      <wp:lineTo x="0" y="0"/>
                    </wp:wrapPolygon>
                  </wp:wrapTight>
                  <wp:docPr id="33" name="图片 2" descr="5f1cab1b4b19df6867137961087748b"/>
                  <wp:cNvGraphicFramePr>
                    <a:graphicFrameLocks noChangeAspect="true"/>
                  </wp:cNvGraphicFramePr>
                  <a:graphic>
                    <a:graphicData uri="http://schemas.openxmlformats.org/drawingml/2006/picture">
                      <pic:pic>
                        <pic:nvPicPr>
                          <pic:cNvPr id="34" name="图片 2" descr="5f1cab1b4b19df6867137961087748b"/>
                          <pic:cNvPicPr>
                            <a:picLocks noChangeAspect="true"/>
                          </pic:cNvPicPr>
                        </pic:nvPicPr>
                        <pic:blipFill>
                          <a:blip r:embed="rId14"/>
                          <a:stretch>
                            <a:fillRect/>
                          </a:stretch>
                        </pic:blipFill>
                        <pic:spPr>
                          <a:xfrm>
                            <a:off x="0" y="0"/>
                            <a:ext cx="3955415" cy="4264660"/>
                          </a:xfrm>
                          <a:prstGeom prst="rect">
                            <a:avLst/>
                          </a:prstGeom>
                        </pic:spPr>
                      </pic:pic>
                    </a:graphicData>
                  </a:graphic>
                </wp:anchor>
              </w:drawing>
            </w:r>
          </w:p>
          <w:p>
            <w:pPr>
              <w:keepNext w:val="false"/>
              <w:keepLines w:val="false"/>
              <w:pageBreakBefore w:val="false"/>
              <w:widowControl w:val="false"/>
              <w:numPr>
                <w:ilvl w:val="0"/>
                <w:numId w:val="0"/>
              </w:numPr>
              <w:pBdr>
                <w:bottom/>
              </w:pBdr>
              <w:kinsoku/>
              <w:wordWrap/>
              <w:overflowPunct/>
              <w:topLinePunct w:val="false"/>
              <w:autoSpaceDE/>
              <w:autoSpaceDN/>
              <w:bidi w:val="false"/>
              <w:adjustRightInd w:val="false"/>
              <w:snapToGrid w:val="false"/>
              <w:spacing w:line="440" w:lineRule="exact"/>
              <w:textAlignment w:val="auto"/>
              <w:rPr>
                <w:rFonts w:hint="eastAsia" w:ascii="宋体" w:hAnsi="宋体" w:eastAsia="宋体" w:cs="宋体"/>
                <w:b w:val="false"/>
                <w:bCs/>
                <w:sz w:val="24"/>
                <w:szCs w:val="24"/>
              </w:rPr>
            </w:pPr>
            <w:r>
              <w:rPr>
                <w:sz w:val="24"/>
              </w:rPr>
              <w:drawing>
                <wp:anchor distT="0" distB="0" distL="114300" distR="114300" simplePos="false" relativeHeight="251661312" behindDoc="false" locked="false" layoutInCell="true" allowOverlap="true">
                  <wp:simplePos x="0" y="0"/>
                  <wp:positionH relativeFrom="column">
                    <wp:posOffset>-2379980</wp:posOffset>
                  </wp:positionH>
                  <wp:positionV relativeFrom="paragraph">
                    <wp:posOffset>269240</wp:posOffset>
                  </wp:positionV>
                  <wp:extent cx="561975" cy="4067175"/>
                  <wp:effectExtent l="12700" t="12700" r="15875" b="15875"/>
                  <wp:wrapNone/>
                  <wp:docPr id="36" name="矩形 13"/>
                  <wp:cNvGraphicFramePr/>
                  <a:graphic>
                    <a:graphicData uri="http://schemas.microsoft.com/office/word/2010/wordprocessingShape">
                      <wps:wsp>
                        <wps:cNvSpPr/>
                        <wps:spPr>
                          <a:xfrm>
                            <a:off x="4403090" y="2588260"/>
                            <a:ext cx="561975" cy="4067175"/>
                          </a:xfrm>
                          <a:prstGeom prst="rect">
                            <a:avLst/>
                          </a:prstGeom>
                        </wps:spPr>
                        <wps:style>
                          <a:lnRef idx="2">
                            <a:schemeClr val="accent1"/>
                          </a:lnRef>
                          <a:fillRef idx="0">
                            <a:srgbClr val="FFFFFF"/>
                          </a:fillRef>
                          <a:effectRef idx="0">
                            <a:srgbClr val="FFFFFF"/>
                          </a:effectRef>
                          <a:fontRef idx="minor">
                            <a:schemeClr val="dk1"/>
                          </a:fontRef>
                        </wps:style>
                        <wps:bodyPr rot="0" spcFirstLastPara="false" vertOverflow="overflow" horzOverflow="overflow" vert="horz" wrap="square" lIns="91440" tIns="45720" rIns="91440" bIns="45720" numCol="1" spcCol="0" rtlCol="false" fromWordArt="false" anchor="ctr" anchorCtr="false" forceAA="false" compatLnSpc="true">
                          <a:noAutofit/>
                        </wps:bodyPr>
                      </wps:wsp>
                    </a:graphicData>
                  </a:graphic>
                </wp:anchor>
              </w:drawing>
            </w:r>
          </w:p>
        </w:tc>
        <w:tc>
          <w:tcPr>
            <w:tcW w:w="4334" w:type="dxa"/>
            <w:shd w:val="clear" w:color="auto" w:fill="auto"/>
            <w:vAlign w:val="center"/>
          </w:tcPr>
          <w:p>
            <w:pPr>
              <w:keepNext w:val="false"/>
              <w:keepLines w:val="false"/>
              <w:pageBreakBefore w:val="false"/>
              <w:widowControl w:val="false"/>
              <w:kinsoku/>
              <w:wordWrap/>
              <w:overflowPunct/>
              <w:topLinePunct w:val="false"/>
              <w:autoSpaceDE/>
              <w:autoSpaceDN/>
              <w:bidi w:val="false"/>
              <w:adjustRightInd w:val="false"/>
              <w:snapToGrid w:val="false"/>
              <w:spacing w:line="240" w:lineRule="auto"/>
              <w:textAlignment w:val="auto"/>
              <w:rPr>
                <w:rFonts w:hint="default" w:ascii="宋体" w:hAnsi="宋体" w:eastAsia="宋体" w:cs="宋体"/>
                <w:b w:val="false"/>
                <w:bCs/>
                <w:color w:val="FF0000"/>
                <w:sz w:val="21"/>
                <w:szCs w:val="21"/>
                <w:highlight w:val="none"/>
                <w:lang w:val="en-US" w:eastAsia="zh-CN"/>
              </w:rPr>
            </w:pPr>
            <w:r>
              <w:rPr>
                <w:rFonts w:hint="eastAsia" w:ascii="宋体" w:hAnsi="宋体"/>
                <w:color w:val="FF0000"/>
                <w:kern w:val="0"/>
                <w:szCs w:val="21"/>
                <w:highlight w:val="yellow"/>
              </w:rPr>
              <w:t>按202</w:t>
            </w:r>
            <w:r>
              <w:rPr>
                <w:rFonts w:hint="eastAsia" w:ascii="宋体" w:hAnsi="宋体"/>
                <w:color w:val="FF0000"/>
                <w:kern w:val="0"/>
                <w:szCs w:val="21"/>
                <w:highlight w:val="yellow"/>
              </w:rPr>
              <w:t>4</w:t>
            </w:r>
            <w:r>
              <w:rPr>
                <w:rFonts w:hint="eastAsia" w:ascii="宋体" w:hAnsi="宋体"/>
                <w:color w:val="FF0000"/>
                <w:kern w:val="0"/>
                <w:szCs w:val="21"/>
                <w:highlight w:val="yellow"/>
              </w:rPr>
              <w:t>级培养方案填写</w:t>
            </w:r>
            <w:r>
              <w:rPr>
                <w:rFonts w:hint="eastAsia" w:ascii="宋体" w:hAnsi="宋体"/>
                <w:color w:val="FF0000"/>
                <w:kern w:val="0"/>
                <w:szCs w:val="21"/>
                <w:highlight w:val="yellow"/>
                <w:lang w:eastAsia="zh-CN"/>
              </w:rPr>
              <w:t>，</w:t>
            </w:r>
            <w:r>
              <w:rPr>
                <w:rFonts w:hint="eastAsia" w:ascii="宋体" w:hAnsi="宋体"/>
                <w:color w:val="FF0000"/>
                <w:kern w:val="0"/>
                <w:szCs w:val="21"/>
                <w:highlight w:val="none"/>
              </w:rPr>
              <w:t>劳动教育2学分</w:t>
            </w:r>
            <w:r>
              <w:rPr>
                <w:rFonts w:hint="eastAsia" w:ascii="宋体" w:hAnsi="宋体"/>
                <w:color w:val="FF0000"/>
                <w:kern w:val="0"/>
                <w:szCs w:val="21"/>
                <w:highlight w:val="none"/>
                <w:lang w:eastAsia="zh-CN"/>
              </w:rPr>
              <w:t>（</w:t>
            </w:r>
            <w:r>
              <w:rPr>
                <w:rFonts w:hint="eastAsia" w:ascii="宋体" w:hAnsi="宋体"/>
                <w:color w:val="FF0000"/>
                <w:kern w:val="0"/>
                <w:szCs w:val="21"/>
                <w:highlight w:val="none"/>
              </w:rPr>
              <w:t>32学时</w:t>
            </w:r>
            <w:r>
              <w:rPr>
                <w:rFonts w:hint="eastAsia" w:ascii="宋体" w:hAnsi="宋体"/>
                <w:color w:val="FF0000"/>
                <w:kern w:val="0"/>
                <w:szCs w:val="21"/>
                <w:highlight w:val="none"/>
                <w:lang w:eastAsia="zh-CN"/>
              </w:rPr>
              <w:t>），</w:t>
            </w:r>
            <w:r>
              <w:rPr>
                <w:rFonts w:hint="eastAsia" w:ascii="宋体" w:hAnsi="宋体"/>
                <w:color w:val="FF0000"/>
                <w:kern w:val="0"/>
                <w:szCs w:val="21"/>
                <w:highlight w:val="none"/>
                <w:lang w:eastAsia="zh-CN"/>
              </w:rPr>
              <w:t>国家安全教育1学分（16学时），</w:t>
            </w:r>
            <w:r>
              <w:rPr>
                <w:rFonts w:hint="eastAsia" w:ascii="宋体" w:hAnsi="宋体"/>
                <w:color w:val="FF0000"/>
                <w:kern w:val="0"/>
                <w:szCs w:val="21"/>
                <w:highlight w:val="none"/>
              </w:rPr>
              <w:t>公共艺术课程2学分</w:t>
            </w:r>
            <w:r>
              <w:rPr>
                <w:rFonts w:hint="eastAsia" w:ascii="宋体" w:hAnsi="宋体"/>
                <w:color w:val="FF0000"/>
                <w:kern w:val="0"/>
                <w:szCs w:val="21"/>
                <w:highlight w:val="none"/>
                <w:lang w:eastAsia="zh-CN"/>
              </w:rPr>
              <w:t>，</w:t>
            </w:r>
            <w:r>
              <w:rPr>
                <w:rFonts w:hint="eastAsia" w:ascii="宋体" w:hAnsi="宋体" w:eastAsia="宋体" w:cs="宋体"/>
                <w:b w:val="false"/>
                <w:bCs/>
                <w:color w:val="FF0000"/>
                <w:sz w:val="21"/>
                <w:szCs w:val="21"/>
                <w:highlight w:val="none"/>
              </w:rPr>
              <w:t>课外科技活动学分数</w:t>
            </w:r>
            <w:r>
              <w:rPr>
                <w:rFonts w:hint="eastAsia" w:ascii="宋体" w:hAnsi="宋体" w:cs="宋体"/>
                <w:b w:val="false"/>
                <w:bCs/>
                <w:color w:val="FF0000"/>
                <w:sz w:val="21"/>
                <w:szCs w:val="21"/>
                <w:highlight w:val="none"/>
                <w:lang w:val="en-US" w:eastAsia="zh-CN"/>
              </w:rPr>
              <w:t>6学分。</w:t>
            </w:r>
          </w:p>
          <w:p>
            <w:pPr>
              <w:keepNext w:val="false"/>
              <w:keepLines w:val="false"/>
              <w:pageBreakBefore w:val="false"/>
              <w:widowControl w:val="false"/>
              <w:kinsoku/>
              <w:wordWrap/>
              <w:overflowPunct/>
              <w:topLinePunct w:val="false"/>
              <w:autoSpaceDE/>
              <w:autoSpaceDN/>
              <w:bidi w:val="false"/>
              <w:spacing w:line="240" w:lineRule="auto"/>
              <w:textAlignment w:val="auto"/>
              <w:rPr>
                <w:rFonts w:hint="eastAsia" w:ascii="宋体" w:hAnsi="宋体" w:eastAsia="宋体" w:cs="宋体"/>
                <w:b w:val="false"/>
                <w:bCs/>
                <w:color w:val="FF0000"/>
                <w:sz w:val="21"/>
                <w:szCs w:val="21"/>
                <w:highlight w:val="none"/>
                <w:lang w:val="en-US" w:eastAsia="zh-CN"/>
              </w:rPr>
            </w:pPr>
            <w:r>
              <w:rPr>
                <w:rFonts w:hint="eastAsia" w:ascii="宋体" w:hAnsi="宋体" w:cs="宋体"/>
                <w:b w:val="false"/>
                <w:bCs/>
                <w:color w:val="FF0000"/>
                <w:sz w:val="21"/>
                <w:szCs w:val="21"/>
                <w:highlight w:val="none"/>
                <w:lang w:val="en-US" w:eastAsia="zh-CN"/>
              </w:rPr>
              <w:t>校验关系：1.</w:t>
            </w:r>
            <w:r>
              <w:rPr>
                <w:rFonts w:hint="eastAsia" w:ascii="宋体" w:hAnsi="宋体" w:eastAsia="宋体" w:cs="宋体"/>
                <w:b w:val="false"/>
                <w:bCs/>
                <w:color w:val="FF0000"/>
                <w:sz w:val="21"/>
                <w:szCs w:val="21"/>
                <w:highlight w:val="none"/>
                <w:lang w:val="en-US" w:eastAsia="zh-CN"/>
              </w:rPr>
              <w:t>“表1-4-1专业基本情况”内所有校内专业均需填报此表。</w:t>
            </w:r>
          </w:p>
          <w:p>
            <w:pPr>
              <w:keepNext w:val="false"/>
              <w:keepLines w:val="false"/>
              <w:pageBreakBefore w:val="false"/>
              <w:widowControl w:val="false"/>
              <w:kinsoku/>
              <w:wordWrap/>
              <w:overflowPunct/>
              <w:topLinePunct w:val="false"/>
              <w:autoSpaceDE/>
              <w:autoSpaceDN/>
              <w:bidi w:val="false"/>
              <w:spacing w:line="240" w:lineRule="auto"/>
              <w:textAlignment w:val="auto"/>
              <w:rPr>
                <w:rFonts w:hint="eastAsia" w:ascii="宋体" w:hAnsi="宋体" w:eastAsia="宋体" w:cs="宋体"/>
                <w:b w:val="false"/>
                <w:bCs/>
                <w:color w:val="FF0000"/>
                <w:sz w:val="21"/>
                <w:szCs w:val="21"/>
                <w:highlight w:val="none"/>
              </w:rPr>
            </w:pPr>
            <w:r>
              <w:rPr>
                <w:rFonts w:hint="eastAsia" w:ascii="宋体" w:hAnsi="宋体" w:eastAsia="宋体" w:cs="宋体"/>
                <w:b w:val="false"/>
                <w:bCs/>
                <w:color w:val="FF0000"/>
                <w:sz w:val="21"/>
                <w:szCs w:val="21"/>
                <w:highlight w:val="none"/>
              </w:rPr>
              <w:t>表内校验：</w:t>
            </w:r>
          </w:p>
          <w:p>
            <w:pPr>
              <w:keepNext w:val="false"/>
              <w:keepLines w:val="false"/>
              <w:pageBreakBefore w:val="false"/>
              <w:widowControl w:val="false"/>
              <w:numPr>
                <w:ilvl w:val="0"/>
                <w:numId w:val="1"/>
              </w:numPr>
              <w:kinsoku/>
              <w:wordWrap/>
              <w:overflowPunct/>
              <w:topLinePunct w:val="false"/>
              <w:autoSpaceDE/>
              <w:autoSpaceDN/>
              <w:bidi w:val="false"/>
              <w:spacing w:line="240" w:lineRule="auto"/>
              <w:textAlignment w:val="auto"/>
              <w:rPr>
                <w:rFonts w:hint="eastAsia" w:ascii="宋体" w:hAnsi="宋体" w:eastAsia="宋体" w:cs="宋体"/>
                <w:b w:val="false"/>
                <w:bCs/>
                <w:color w:val="FF0000"/>
                <w:sz w:val="21"/>
                <w:szCs w:val="21"/>
                <w:highlight w:val="none"/>
              </w:rPr>
            </w:pPr>
            <w:r>
              <w:rPr>
                <w:rFonts w:hint="eastAsia" w:ascii="宋体" w:hAnsi="宋体" w:eastAsia="宋体" w:cs="宋体"/>
                <w:b w:val="false"/>
                <w:bCs/>
                <w:color w:val="FF0000"/>
                <w:sz w:val="21"/>
                <w:szCs w:val="21"/>
                <w:highlight w:val="none"/>
              </w:rPr>
              <w:t>“学时数总数”=“必修课+选修课”学时数</w:t>
            </w:r>
            <w:r>
              <w:rPr>
                <w:rFonts w:hint="eastAsia" w:ascii="宋体" w:hAnsi="宋体" w:cs="宋体"/>
                <w:b w:val="false"/>
                <w:bCs/>
                <w:color w:val="FF0000"/>
                <w:sz w:val="21"/>
                <w:szCs w:val="21"/>
                <w:highlight w:val="none"/>
                <w:lang w:eastAsia="zh-CN"/>
              </w:rPr>
              <w:t>（</w:t>
            </w:r>
            <w:r>
              <w:rPr>
                <w:rFonts w:hint="eastAsia" w:ascii="宋体" w:hAnsi="宋体" w:cs="宋体"/>
                <w:b w:val="false"/>
                <w:bCs/>
                <w:color w:val="FF0000"/>
                <w:sz w:val="21"/>
                <w:szCs w:val="21"/>
                <w:highlight w:val="none"/>
                <w:lang w:val="en-US" w:eastAsia="zh-CN"/>
              </w:rPr>
              <w:t>蓝色框，对应培养方案中蓝色框部分，含集中实践环节）；</w:t>
            </w:r>
          </w:p>
          <w:p>
            <w:pPr>
              <w:keepNext w:val="false"/>
              <w:keepLines w:val="false"/>
              <w:pageBreakBefore w:val="false"/>
              <w:widowControl w:val="false"/>
              <w:numPr>
                <w:ilvl w:val="0"/>
                <w:numId w:val="1"/>
              </w:numPr>
              <w:kinsoku/>
              <w:wordWrap/>
              <w:overflowPunct/>
              <w:topLinePunct w:val="false"/>
              <w:autoSpaceDE/>
              <w:autoSpaceDN/>
              <w:bidi w:val="false"/>
              <w:spacing w:line="240" w:lineRule="auto"/>
              <w:ind w:left="0" w:leftChars="0" w:firstLine="0" w:firstLineChars="0"/>
              <w:textAlignment w:val="auto"/>
              <w:rPr>
                <w:rFonts w:hint="eastAsia" w:ascii="宋体" w:hAnsi="宋体" w:eastAsia="宋体" w:cs="宋体"/>
                <w:b w:val="false"/>
                <w:bCs/>
                <w:color w:val="auto"/>
                <w:sz w:val="21"/>
                <w:szCs w:val="21"/>
                <w:highlight w:val="none"/>
              </w:rPr>
            </w:pPr>
            <w:r>
              <w:rPr>
                <w:rFonts w:hint="eastAsia" w:ascii="宋体" w:hAnsi="宋体" w:eastAsia="宋体" w:cs="宋体"/>
                <w:b w:val="false"/>
                <w:bCs/>
                <w:color w:val="auto"/>
                <w:sz w:val="21"/>
                <w:szCs w:val="21"/>
                <w:highlight w:val="none"/>
              </w:rPr>
              <w:t>“学时数总数”≥“理论教学+实验教学”学时数；</w:t>
            </w:r>
          </w:p>
          <w:p>
            <w:pPr>
              <w:keepNext w:val="false"/>
              <w:keepLines w:val="false"/>
              <w:pageBreakBefore w:val="false"/>
              <w:widowControl w:val="false"/>
              <w:numPr>
                <w:ilvl w:val="0"/>
                <w:numId w:val="1"/>
              </w:numPr>
              <w:kinsoku/>
              <w:wordWrap/>
              <w:overflowPunct/>
              <w:topLinePunct w:val="false"/>
              <w:autoSpaceDE/>
              <w:autoSpaceDN/>
              <w:bidi w:val="false"/>
              <w:spacing w:line="240" w:lineRule="auto"/>
              <w:ind w:left="0" w:leftChars="0" w:firstLine="0" w:firstLineChars="0"/>
              <w:textAlignment w:val="auto"/>
              <w:rPr>
                <w:rFonts w:hint="eastAsia" w:ascii="宋体" w:hAnsi="宋体" w:eastAsia="宋体" w:cs="宋体"/>
                <w:b w:val="false"/>
                <w:bCs/>
                <w:color w:val="FF0000"/>
                <w:sz w:val="21"/>
                <w:szCs w:val="21"/>
                <w:highlight w:val="none"/>
              </w:rPr>
            </w:pPr>
            <w:r>
              <w:rPr>
                <w:rFonts w:hint="eastAsia" w:ascii="宋体" w:hAnsi="宋体" w:eastAsia="宋体" w:cs="宋体"/>
                <w:b w:val="false"/>
                <w:bCs/>
                <w:color w:val="FF0000"/>
                <w:sz w:val="21"/>
                <w:szCs w:val="21"/>
                <w:highlight w:val="none"/>
              </w:rPr>
              <w:t>“学分数总数”=“集中性实践教学环节+理论教学+实验教学+课外科技活动”学分数</w:t>
            </w:r>
            <w:r>
              <w:rPr>
                <w:rFonts w:hint="eastAsia" w:ascii="宋体" w:hAnsi="宋体" w:cs="宋体"/>
                <w:b w:val="false"/>
                <w:bCs/>
                <w:color w:val="FF0000"/>
                <w:sz w:val="21"/>
                <w:szCs w:val="21"/>
                <w:highlight w:val="none"/>
                <w:lang w:eastAsia="zh-CN"/>
              </w:rPr>
              <w:t>（</w:t>
            </w:r>
            <w:r>
              <w:rPr>
                <w:rFonts w:hint="eastAsia" w:ascii="宋体" w:hAnsi="宋体" w:cs="宋体"/>
                <w:b w:val="false"/>
                <w:bCs/>
                <w:color w:val="FF0000"/>
                <w:sz w:val="21"/>
                <w:szCs w:val="21"/>
                <w:highlight w:val="none"/>
                <w:lang w:val="en-US" w:eastAsia="zh-CN"/>
              </w:rPr>
              <w:t>红色框），【其中“集中性实践环节”学分：是指各专业培养计划所规定的以周为单位的集中实施实践教学活动，包括但不限于见习、实习、毕业设计、毕业论文、社会调查等，根据学校的实际情况，集中性实践环节学分应包括：集中实践教学环节+部分课程中独立设置的实践教学环节，也就是培养方案中的实践学分（红框）】，课外科技活动一般为0</w:t>
            </w:r>
            <w:r>
              <w:rPr>
                <w:rFonts w:hint="eastAsia" w:ascii="宋体" w:hAnsi="宋体" w:eastAsia="宋体" w:cs="宋体"/>
                <w:b w:val="false"/>
                <w:bCs/>
                <w:color w:val="FF0000"/>
                <w:sz w:val="21"/>
                <w:szCs w:val="21"/>
                <w:highlight w:val="none"/>
              </w:rPr>
              <w:t>；</w:t>
            </w:r>
          </w:p>
          <w:p>
            <w:pPr>
              <w:keepNext w:val="false"/>
              <w:keepLines w:val="false"/>
              <w:pageBreakBefore w:val="false"/>
              <w:widowControl w:val="false"/>
              <w:numPr>
                <w:ilvl w:val="0"/>
                <w:numId w:val="1"/>
              </w:numPr>
              <w:kinsoku/>
              <w:wordWrap/>
              <w:overflowPunct/>
              <w:topLinePunct w:val="false"/>
              <w:autoSpaceDE/>
              <w:autoSpaceDN/>
              <w:bidi w:val="false"/>
              <w:spacing w:line="240" w:lineRule="auto"/>
              <w:ind w:left="0" w:leftChars="0" w:firstLine="0" w:firstLineChars="0"/>
              <w:textAlignment w:val="auto"/>
              <w:rPr>
                <w:rFonts w:hint="eastAsia" w:ascii="宋体" w:hAnsi="宋体" w:eastAsia="宋体" w:cs="宋体"/>
                <w:b w:val="false"/>
                <w:bCs/>
                <w:color w:val="auto"/>
                <w:sz w:val="21"/>
                <w:szCs w:val="21"/>
                <w:highlight w:val="none"/>
              </w:rPr>
            </w:pPr>
            <w:r>
              <w:rPr>
                <w:rFonts w:hint="eastAsia" w:ascii="宋体" w:hAnsi="宋体" w:eastAsia="宋体" w:cs="宋体"/>
                <w:b w:val="false"/>
                <w:bCs/>
                <w:color w:val="auto"/>
                <w:sz w:val="21"/>
                <w:szCs w:val="21"/>
                <w:highlight w:val="none"/>
              </w:rPr>
              <w:t>“学分数总数”≥“</w:t>
            </w:r>
            <w:r>
              <w:rPr>
                <w:rFonts w:hint="eastAsia" w:ascii="宋体" w:hAnsi="宋体" w:eastAsia="宋体" w:cs="宋体"/>
                <w:b w:val="false"/>
                <w:bCs/>
                <w:color w:val="auto"/>
                <w:kern w:val="0"/>
                <w:sz w:val="21"/>
                <w:szCs w:val="21"/>
                <w:highlight w:val="none"/>
              </w:rPr>
              <w:t xml:space="preserve"> </w:t>
            </w:r>
            <w:r>
              <w:rPr>
                <w:rFonts w:hint="eastAsia" w:ascii="宋体" w:hAnsi="宋体" w:eastAsia="宋体" w:cs="宋体"/>
                <w:b w:val="false"/>
                <w:bCs/>
                <w:color w:val="auto"/>
                <w:sz w:val="21"/>
                <w:szCs w:val="21"/>
                <w:highlight w:val="none"/>
              </w:rPr>
              <w:t>公共必修课+专业必修课+公共选修课+专业选修课”学分数；</w:t>
            </w:r>
          </w:p>
          <w:p>
            <w:pPr>
              <w:keepNext w:val="false"/>
              <w:keepLines w:val="false"/>
              <w:pageBreakBefore w:val="false"/>
              <w:widowControl w:val="false"/>
              <w:kinsoku/>
              <w:wordWrap/>
              <w:overflowPunct/>
              <w:topLinePunct w:val="false"/>
              <w:autoSpaceDE/>
              <w:autoSpaceDN/>
              <w:bidi w:val="false"/>
              <w:adjustRightInd w:val="false"/>
              <w:snapToGrid w:val="false"/>
              <w:spacing w:line="240" w:lineRule="auto"/>
              <w:textAlignment w:val="auto"/>
              <w:rPr>
                <w:rFonts w:hint="eastAsia" w:ascii="宋体" w:hAnsi="宋体" w:eastAsia="宋体" w:cs="宋体"/>
                <w:b w:val="false"/>
                <w:bCs/>
                <w:color w:val="FF0000"/>
                <w:sz w:val="21"/>
                <w:szCs w:val="21"/>
                <w:highlight w:val="none"/>
              </w:rPr>
            </w:pPr>
            <w:r>
              <w:rPr>
                <w:rFonts w:hint="eastAsia" w:ascii="宋体" w:hAnsi="宋体" w:cs="宋体"/>
                <w:b w:val="false"/>
                <w:bCs/>
                <w:color w:val="FF0000"/>
                <w:sz w:val="21"/>
                <w:szCs w:val="21"/>
                <w:highlight w:val="none"/>
                <w:lang w:val="en-US" w:eastAsia="zh-CN"/>
              </w:rPr>
              <w:t>5</w:t>
            </w:r>
            <w:r>
              <w:rPr>
                <w:rFonts w:hint="eastAsia" w:ascii="宋体" w:hAnsi="宋体" w:eastAsia="宋体" w:cs="宋体"/>
                <w:b w:val="false"/>
                <w:bCs/>
                <w:color w:val="FF0000"/>
                <w:sz w:val="21"/>
                <w:szCs w:val="21"/>
                <w:highlight w:val="none"/>
                <w:lang w:val="en-US" w:eastAsia="zh-CN"/>
              </w:rPr>
              <w:t>.按照要求：人文社科类专业实践学分（学时）不少于总学分（学时）15%，应用文科不少于20%；理工类专业实践学分（学时）不少于总学分（学时）25%。所以</w:t>
            </w:r>
            <w:r>
              <w:rPr>
                <w:rFonts w:hint="eastAsia" w:ascii="宋体" w:hAnsi="宋体" w:cs="宋体"/>
                <w:b w:val="false"/>
                <w:bCs/>
                <w:color w:val="FF0000"/>
                <w:sz w:val="21"/>
                <w:szCs w:val="21"/>
                <w:highlight w:val="none"/>
                <w:lang w:val="en-US" w:eastAsia="zh-CN"/>
              </w:rPr>
              <w:t>“</w:t>
            </w:r>
            <w:r>
              <w:rPr>
                <w:rFonts w:hint="eastAsia" w:ascii="宋体" w:hAnsi="宋体" w:eastAsia="宋体" w:cs="宋体"/>
                <w:b w:val="false"/>
                <w:bCs/>
                <w:color w:val="FF0000"/>
                <w:sz w:val="21"/>
                <w:szCs w:val="21"/>
                <w:highlight w:val="none"/>
                <w:lang w:val="en-US" w:eastAsia="zh-CN"/>
              </w:rPr>
              <w:t>（集中性实践环节+实验教学学分）/总学分</w:t>
            </w:r>
            <w:r>
              <w:rPr>
                <w:rFonts w:hint="eastAsia" w:ascii="宋体" w:hAnsi="宋体" w:cs="宋体"/>
                <w:b w:val="false"/>
                <w:bCs/>
                <w:color w:val="FF0000"/>
                <w:sz w:val="21"/>
                <w:szCs w:val="21"/>
                <w:highlight w:val="none"/>
                <w:lang w:val="en-US" w:eastAsia="zh-CN"/>
              </w:rPr>
              <w:t>”应达到上述比例。</w:t>
            </w:r>
          </w:p>
          <w:p>
            <w:pPr>
              <w:keepNext w:val="false"/>
              <w:keepLines w:val="false"/>
              <w:pageBreakBefore w:val="false"/>
              <w:widowControl w:val="false"/>
              <w:pBdr>
                <w:bottom/>
              </w:pBdr>
              <w:kinsoku/>
              <w:wordWrap/>
              <w:overflowPunct/>
              <w:topLinePunct w:val="false"/>
              <w:autoSpaceDE/>
              <w:autoSpaceDN/>
              <w:bidi w:val="false"/>
              <w:adjustRightInd w:val="false"/>
              <w:snapToGrid w:val="false"/>
              <w:spacing w:line="240" w:lineRule="auto"/>
              <w:ind w:left="0"/>
              <w:textAlignment w:val="auto"/>
              <w:rPr>
                <w:rFonts w:hint="default" w:ascii="宋体" w:hAnsi="宋体" w:eastAsia="宋体" w:cs="宋体"/>
                <w:b w:val="false"/>
                <w:bCs/>
                <w:color w:val="000000"/>
                <w:sz w:val="21"/>
                <w:szCs w:val="21"/>
                <w:lang w:val="en-US" w:eastAsia="zh-CN"/>
              </w:rPr>
            </w:pPr>
            <w:r>
              <w:rPr>
                <w:rFonts w:hint="eastAsia" w:ascii="宋体" w:hAnsi="宋体" w:eastAsia="宋体" w:cs="宋体"/>
                <w:b w:val="false"/>
                <w:bCs/>
                <w:color w:val="FF0000"/>
                <w:sz w:val="21"/>
                <w:szCs w:val="21"/>
                <w:highlight w:val="none"/>
              </w:rPr>
              <w:t>6.</w:t>
            </w:r>
            <w:r>
              <w:rPr>
                <w:rFonts w:hint="eastAsia" w:ascii="宋体" w:hAnsi="宋体" w:eastAsia="宋体" w:cs="宋体"/>
                <w:b w:val="false"/>
                <w:bCs/>
                <w:color w:val="FF0000"/>
                <w:sz w:val="21"/>
                <w:szCs w:val="21"/>
                <w:highlight w:val="none"/>
              </w:rPr>
              <w:t>“专业带头人工号”</w:t>
            </w:r>
            <w:r>
              <w:rPr>
                <w:rFonts w:hint="eastAsia" w:ascii="宋体" w:hAnsi="宋体" w:eastAsia="宋体" w:cs="宋体"/>
                <w:b w:val="false"/>
                <w:bCs/>
                <w:color w:val="FF0000"/>
                <w:sz w:val="21"/>
                <w:szCs w:val="21"/>
                <w:highlight w:val="none"/>
                <w:shd w:val="clear" w:fill="FFFF00"/>
                <w:lang w:eastAsia="zh-CN"/>
              </w:rPr>
              <w:t>【</w:t>
            </w:r>
            <w:r>
              <w:rPr>
                <w:rFonts w:hint="eastAsia" w:ascii="宋体" w:hAnsi="宋体" w:eastAsia="宋体" w:cs="宋体"/>
                <w:b w:val="false"/>
                <w:bCs/>
                <w:color w:val="FF0000"/>
                <w:sz w:val="21"/>
                <w:szCs w:val="21"/>
                <w:highlight w:val="none"/>
                <w:shd w:val="clear" w:fill="FFFF00"/>
                <w:lang w:val="en-US" w:eastAsia="zh-CN"/>
              </w:rPr>
              <w:t>专业带头人必须是教授或副教授</w:t>
            </w:r>
            <w:r>
              <w:rPr>
                <w:rFonts w:hint="eastAsia" w:ascii="宋体" w:hAnsi="宋体" w:eastAsia="宋体" w:cs="宋体"/>
                <w:b w:val="false"/>
                <w:bCs/>
                <w:color w:val="FF0000"/>
                <w:sz w:val="21"/>
                <w:szCs w:val="21"/>
                <w:highlight w:val="none"/>
                <w:shd w:val="clear" w:fill="FFFF00"/>
                <w:lang w:eastAsia="zh-CN"/>
              </w:rPr>
              <w:t>】</w:t>
            </w:r>
            <w:r>
              <w:rPr>
                <w:rFonts w:hint="eastAsia" w:ascii="宋体" w:hAnsi="宋体" w:eastAsia="宋体" w:cs="宋体"/>
                <w:b w:val="false"/>
                <w:bCs/>
                <w:color w:val="FF0000"/>
                <w:sz w:val="21"/>
                <w:szCs w:val="21"/>
                <w:highlight w:val="none"/>
              </w:rPr>
              <w:t>“姓名”与表“1-5-1、1-5-3、1-5-4”“工号”、“姓名”保持一致。</w:t>
            </w:r>
            <w:r>
              <w:rPr>
                <w:rFonts w:hint="eastAsia" w:ascii="宋体" w:hAnsi="宋体" w:eastAsia="宋体" w:cs="宋体"/>
                <w:b w:val="false"/>
                <w:bCs/>
                <w:color w:val="FF0000"/>
                <w:sz w:val="21"/>
                <w:szCs w:val="21"/>
                <w:shd w:val="clear" w:color="auto" w:fill="FFFF00"/>
              </w:rPr>
              <w:t>专业带头人根据新一轮的聘任通知填写，http://jwc.fjnu.edu.cn/cc/af/c9107a380</w:t>
            </w:r>
            <w:r>
              <w:rPr>
                <w:rFonts w:ascii="宋体" w:hAnsi="宋体" w:eastAsia="宋体" w:cs="宋体"/>
                <w:i w:val="false"/>
                <w:strike w:val="false"/>
                <w:color w:val="FF0000"/>
                <w:spacing w:val="0"/>
                <w:u w:val="none"/>
                <w:shd w:val="clear" w:color="auto" w:fill="FFFF00"/>
              </w:rPr>
              <w:t>079/page.htm</w:t>
            </w:r>
          </w:p>
        </w:tc>
      </w:tr>
      <w:tr>
        <w:trPr>
          <w:trHeight w:val="285" w:hRule="atLeast"/>
        </w:trPr>
        <w:tc>
          <w:tcPr>
            <w:tcW w:w="15474" w:type="dxa"/>
            <w:gridSpan w:val="4"/>
            <w:shd w:val="clear" w:color="auto" w:fill="auto"/>
            <w:vAlign w:val="center"/>
          </w:tcPr>
          <w:p>
            <w:pPr>
              <w:rPr>
                <w:rFonts w:ascii="宋体" w:hAnsi="宋体" w:cs="仿宋_GB2312"/>
                <w:b/>
                <w:sz w:val="24"/>
              </w:rPr>
            </w:pPr>
            <w:r>
              <w:rPr>
                <w:rFonts w:hint="eastAsia" w:ascii="宋体" w:hAnsi="宋体" w:cs="仿宋_GB2312"/>
                <w:b/>
                <w:sz w:val="24"/>
              </w:rPr>
              <w:t>5.人才培养</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表5-1-1 开课情况（学年）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学务科</w:t>
            </w:r>
          </w:p>
        </w:tc>
        <w:tc>
          <w:tcPr>
            <w:tcW w:w="7975" w:type="dxa"/>
            <w:shd w:val="clear" w:color="auto" w:fill="auto"/>
            <w:vAlign w:val="center"/>
          </w:tcPr>
          <w:p>
            <w:pPr>
              <w:rPr>
                <w:rFonts w:hint="eastAsia" w:ascii="宋体" w:hAnsi="宋体" w:eastAsia="宋体" w:cs="仿宋_GB2312"/>
                <w:sz w:val="24"/>
                <w:lang w:eastAsia="zh-CN"/>
              </w:rPr>
            </w:pPr>
            <w:r>
              <w:rPr>
                <w:rFonts w:hint="eastAsia" w:ascii="宋体" w:hAnsi="宋体" w:eastAsia="宋体" w:cs="仿宋_GB2312"/>
                <w:sz w:val="24"/>
                <w:lang w:eastAsia="zh-CN"/>
              </w:rPr>
              <w:drawing>
                <wp:inline distT="0" distB="0" distL="114300" distR="114300">
                  <wp:extent cx="4924425" cy="1038860"/>
                  <wp:effectExtent l="0" t="0" r="9525" b="8890"/>
                  <wp:docPr id="38" name="图片 31" descr="1698667353939"/>
                  <wp:cNvGraphicFramePr>
                    <a:graphicFrameLocks noChangeAspect="true"/>
                  </wp:cNvGraphicFramePr>
                  <a:graphic>
                    <a:graphicData uri="http://schemas.openxmlformats.org/drawingml/2006/picture">
                      <pic:pic>
                        <pic:nvPicPr>
                          <pic:cNvPr id="39" name="图片 31" descr="1698667353939"/>
                          <pic:cNvPicPr>
                            <a:picLocks noChangeAspect="true"/>
                          </pic:cNvPicPr>
                        </pic:nvPicPr>
                        <pic:blipFill>
                          <a:blip r:embed="rId15"/>
                          <a:stretch>
                            <a:fillRect/>
                          </a:stretch>
                        </pic:blipFill>
                        <pic:spPr>
                          <a:xfrm>
                            <a:off x="0" y="0"/>
                            <a:ext cx="4924425" cy="1038860"/>
                          </a:xfrm>
                          <a:prstGeom prst="rect">
                            <a:avLst/>
                          </a:prstGeom>
                        </pic:spPr>
                      </pic:pic>
                    </a:graphicData>
                  </a:graphic>
                </wp:inline>
              </w:drawing>
            </w:r>
          </w:p>
          <w:p>
            <w:pPr>
              <w:rPr>
                <w:rFonts w:hint="eastAsia" w:ascii="宋体" w:hAnsi="宋体" w:eastAsia="宋体" w:cs="仿宋_GB2312"/>
                <w:sz w:val="24"/>
                <w:lang w:eastAsia="zh-CN"/>
              </w:rPr>
            </w:pPr>
            <w:r>
              <w:rPr/>
              <w:drawing>
                <wp:inline distT="0" distB="0" distL="114300" distR="114300">
                  <wp:extent cx="4916170" cy="1180465"/>
                  <wp:effectExtent l="0" t="0" r="17780" b="635"/>
                  <wp:docPr id="41" name="图片 4"/>
                  <wp:cNvGraphicFramePr>
                    <a:graphicFrameLocks noChangeAspect="true"/>
                  </wp:cNvGraphicFramePr>
                  <a:graphic>
                    <a:graphicData uri="http://schemas.openxmlformats.org/drawingml/2006/picture">
                      <pic:pic>
                        <pic:nvPicPr>
                          <pic:cNvPr id="42" name="图片 4"/>
                          <pic:cNvPicPr>
                            <a:picLocks noChangeAspect="true"/>
                          </pic:cNvPicPr>
                        </pic:nvPicPr>
                        <pic:blipFill>
                          <a:blip r:embed="rId16"/>
                          <a:stretch>
                            <a:fillRect/>
                          </a:stretch>
                        </pic:blipFill>
                        <pic:spPr>
                          <a:xfrm>
                            <a:off x="0" y="0"/>
                            <a:ext cx="4916170" cy="1180465"/>
                          </a:xfrm>
                          <a:prstGeom prst="rect">
                            <a:avLst/>
                          </a:prstGeom>
                          <a:noFill/>
                          <a:ln w="9525">
                            <a:noFill/>
                          </a:ln>
                        </pic:spPr>
                      </pic:pic>
                    </a:graphicData>
                  </a:graphic>
                </wp:inline>
              </w:drawing>
            </w:r>
          </w:p>
        </w:tc>
        <w:tc>
          <w:tcPr>
            <w:tcW w:w="4334" w:type="dxa"/>
            <w:shd w:val="clear" w:color="auto" w:fill="auto"/>
            <w:vAlign w:val="center"/>
          </w:tcPr>
          <w:p>
            <w:pPr>
              <w:adjustRightInd w:val="false"/>
              <w:snapToGrid w:val="false"/>
              <w:rPr>
                <w:rFonts w:ascii="宋体" w:hAnsi="宋体"/>
                <w:color w:val="000000"/>
                <w:szCs w:val="21"/>
              </w:rPr>
            </w:pPr>
            <w:r>
              <w:rPr>
                <w:rFonts w:ascii="宋体" w:hAnsi="宋体"/>
                <w:b/>
                <w:color w:val="000000"/>
                <w:szCs w:val="21"/>
              </w:rPr>
              <w:t>开课号：</w:t>
            </w:r>
            <w:r>
              <w:rPr>
                <w:rFonts w:ascii="宋体" w:hAnsi="宋体"/>
                <w:color w:val="000000"/>
                <w:szCs w:val="21"/>
              </w:rPr>
              <w:t>指学校内部管理对课程实际开课的教学班编号。</w:t>
            </w:r>
          </w:p>
          <w:p>
            <w:pPr>
              <w:adjustRightInd w:val="false"/>
              <w:snapToGrid w:val="false"/>
              <w:rPr>
                <w:rFonts w:ascii="宋体" w:hAnsi="宋体"/>
                <w:color w:val="000000"/>
                <w:szCs w:val="21"/>
              </w:rPr>
            </w:pPr>
            <w:r>
              <w:rPr>
                <w:rFonts w:ascii="宋体" w:hAnsi="宋体"/>
                <w:b/>
                <w:color w:val="000000"/>
                <w:szCs w:val="21"/>
              </w:rPr>
              <w:t>课程号：</w:t>
            </w:r>
            <w:r>
              <w:rPr>
                <w:rFonts w:ascii="宋体" w:hAnsi="宋体"/>
                <w:color w:val="000000"/>
                <w:szCs w:val="21"/>
              </w:rPr>
              <w:t>学校内部对课程的管理编号。</w:t>
            </w:r>
          </w:p>
          <w:p>
            <w:pPr>
              <w:adjustRightInd w:val="false"/>
              <w:snapToGrid w:val="false"/>
              <w:rPr>
                <w:rFonts w:ascii="宋体" w:hAnsi="宋体"/>
                <w:color w:val="000000"/>
                <w:szCs w:val="21"/>
              </w:rPr>
            </w:pPr>
            <w:r>
              <w:rPr>
                <w:rFonts w:ascii="宋体" w:hAnsi="宋体"/>
                <w:b/>
                <w:color w:val="000000"/>
                <w:szCs w:val="21"/>
              </w:rPr>
              <w:t>课程性质：</w:t>
            </w:r>
            <w:r>
              <w:rPr>
                <w:rFonts w:ascii="宋体" w:hAnsi="宋体"/>
                <w:color w:val="000000"/>
                <w:szCs w:val="21"/>
              </w:rPr>
              <w:t>理论课（包括理论教学和课内实践、实验教学），</w:t>
            </w:r>
            <w:r>
              <w:rPr>
                <w:rFonts w:hint="eastAsia" w:ascii="宋体" w:hAnsi="宋体"/>
                <w:b/>
                <w:color w:val="000000"/>
                <w:szCs w:val="21"/>
              </w:rPr>
              <w:t>术科课</w:t>
            </w:r>
            <w:r>
              <w:rPr>
                <w:rFonts w:hint="eastAsia" w:ascii="宋体" w:hAnsi="宋体"/>
                <w:color w:val="000000"/>
                <w:szCs w:val="21"/>
              </w:rPr>
              <w:t>（</w:t>
            </w:r>
            <w:r>
              <w:rPr>
                <w:rFonts w:hint="eastAsia" w:ascii="宋体" w:hAnsi="宋体"/>
                <w:color w:val="000000" w:themeColor="text1"/>
                <w:szCs w:val="21"/>
                <w14:textFill>
                  <w14:solidFill>
                    <w14:schemeClr w14:val="tx1"/>
                  </w14:solidFill>
                </w14:textFill>
              </w:rPr>
              <w:t>该课程</w:t>
            </w:r>
            <w:r>
              <w:rPr>
                <w:rFonts w:ascii="宋体" w:hAnsi="宋体"/>
                <w:b/>
                <w:color w:val="000000" w:themeColor="text1"/>
                <w:szCs w:val="21"/>
                <w14:textFill>
                  <w14:solidFill>
                    <w14:schemeClr w14:val="tx1"/>
                  </w14:solidFill>
                </w14:textFill>
              </w:rPr>
              <w:t>50%</w:t>
            </w:r>
            <w:r>
              <w:rPr>
                <w:rFonts w:hint="eastAsia" w:ascii="宋体" w:hAnsi="宋体"/>
                <w:b/>
                <w:color w:val="000000" w:themeColor="text1"/>
                <w:szCs w:val="21"/>
                <w14:textFill>
                  <w14:solidFill>
                    <w14:schemeClr w14:val="tx1"/>
                  </w14:solidFill>
                </w14:textFill>
              </w:rPr>
              <w:t>（含</w:t>
            </w:r>
            <w:r>
              <w:rPr>
                <w:rFonts w:ascii="宋体" w:hAnsi="宋体"/>
                <w:b/>
                <w:color w:val="000000" w:themeColor="text1"/>
                <w:szCs w:val="21"/>
                <w14:textFill>
                  <w14:solidFill>
                    <w14:schemeClr w14:val="tx1"/>
                  </w14:solidFill>
                </w14:textFill>
              </w:rPr>
              <w:t>50</w:t>
            </w:r>
            <w:r>
              <w:rPr>
                <w:rFonts w:hint="eastAsia" w:ascii="宋体" w:hAnsi="宋体"/>
                <w:b/>
                <w:color w:val="000000" w:themeColor="text1"/>
                <w:szCs w:val="21"/>
                <w14:textFill>
                  <w14:solidFill>
                    <w14:schemeClr w14:val="tx1"/>
                  </w14:solidFill>
                </w14:textFill>
              </w:rPr>
              <w:t>％）以上的课时</w:t>
            </w:r>
            <w:r>
              <w:rPr>
                <w:rFonts w:hint="eastAsia" w:ascii="宋体" w:hAnsi="宋体"/>
                <w:color w:val="000000" w:themeColor="text1"/>
                <w:szCs w:val="21"/>
                <w14:textFill>
                  <w14:solidFill>
                    <w14:schemeClr w14:val="tx1"/>
                  </w14:solidFill>
                </w14:textFill>
              </w:rPr>
              <w:t>由学生自己动手操作、练习，培训体育或艺术专业技能的实践课程。</w:t>
            </w:r>
            <w:r>
              <w:rPr>
                <w:rFonts w:hint="eastAsia" w:ascii="宋体" w:hAnsi="宋体"/>
                <w:color w:val="000000"/>
                <w:szCs w:val="21"/>
              </w:rPr>
              <w:t>例如：体育课，艺术类主科课等），</w:t>
            </w:r>
            <w:r>
              <w:rPr>
                <w:rFonts w:ascii="宋体" w:hAnsi="宋体"/>
                <w:color w:val="000000"/>
                <w:szCs w:val="21"/>
              </w:rPr>
              <w:t>独立设置实验课。（不含军训、见习、实习、毕业设计、毕业论文、社会调查等）。</w:t>
            </w:r>
          </w:p>
          <w:p>
            <w:pPr>
              <w:adjustRightInd w:val="false"/>
              <w:snapToGrid w:val="false"/>
              <w:rPr>
                <w:rFonts w:hint="eastAsia" w:ascii="宋体" w:hAnsi="宋体"/>
                <w:b/>
                <w:color w:val="000000" w:themeColor="text1"/>
                <w:szCs w:val="21"/>
              </w:rPr>
            </w:pPr>
            <w:r>
              <w:rPr>
                <w:rFonts w:ascii="宋体" w:hAnsi="宋体"/>
                <w:b/>
                <w:color w:val="000000"/>
                <w:szCs w:val="21"/>
              </w:rPr>
              <w:t>课程类别</w:t>
            </w:r>
            <w:r>
              <w:rPr>
                <w:rFonts w:ascii="宋体" w:hAnsi="宋体"/>
                <w:color w:val="000000"/>
                <w:szCs w:val="21"/>
              </w:rPr>
              <w:t>：公共必修课，公共选修课，</w:t>
            </w:r>
            <w:r>
              <w:rPr>
                <w:rFonts w:hint="eastAsia" w:ascii="宋体" w:hAnsi="宋体"/>
                <w:color w:val="000000"/>
                <w:szCs w:val="21"/>
              </w:rPr>
              <w:t>专业课</w:t>
            </w:r>
            <w:r>
              <w:rPr>
                <w:rFonts w:ascii="宋体" w:hAnsi="宋体"/>
                <w:color w:val="000000"/>
                <w:szCs w:val="21"/>
              </w:rPr>
              <w:t>。</w:t>
            </w:r>
            <w:r>
              <w:rPr>
                <w:rFonts w:hint="eastAsia" w:ascii="宋体" w:hAnsi="宋体"/>
                <w:b/>
                <w:color w:val="000000" w:themeColor="text1"/>
                <w:szCs w:val="21"/>
                <w14:textFill>
                  <w14:solidFill>
                    <w14:schemeClr w14:val="tx1"/>
                  </w14:solidFill>
                </w14:textFill>
              </w:rPr>
              <w:t>（优先级：专业课＞公共必修课（公共选修课），如课程</w:t>
            </w:r>
            <w:r>
              <w:rPr>
                <w:rFonts w:ascii="宋体" w:hAnsi="宋体"/>
                <w:b/>
                <w:color w:val="000000" w:themeColor="text1"/>
                <w:szCs w:val="21"/>
                <w14:textFill>
                  <w14:solidFill>
                    <w14:schemeClr w14:val="tx1"/>
                  </w14:solidFill>
                </w14:textFill>
              </w:rPr>
              <w:t>A</w:t>
            </w:r>
            <w:r>
              <w:rPr>
                <w:rFonts w:hint="eastAsia" w:ascii="宋体" w:hAnsi="宋体"/>
                <w:b/>
                <w:color w:val="000000" w:themeColor="text1"/>
                <w:szCs w:val="21"/>
                <w14:textFill>
                  <w14:solidFill>
                    <w14:schemeClr w14:val="tx1"/>
                  </w14:solidFill>
                </w14:textFill>
              </w:rPr>
              <w:t>在专业</w:t>
            </w:r>
            <w:r>
              <w:rPr>
                <w:rFonts w:hint="eastAsia" w:ascii="宋体" w:hAnsi="宋体" w:cs="宋体"/>
                <w:b/>
                <w:color w:val="000000" w:themeColor="text1"/>
                <w:szCs w:val="21"/>
                <w14:textFill>
                  <w14:solidFill>
                    <w14:schemeClr w14:val="tx1"/>
                  </w14:solidFill>
                </w14:textFill>
              </w:rPr>
              <w:t>Ⅰ</w:t>
            </w:r>
            <w:r>
              <w:rPr>
                <w:rFonts w:hint="eastAsia" w:ascii="宋体" w:hAnsi="宋体"/>
                <w:b/>
                <w:color w:val="000000" w:themeColor="text1"/>
                <w:szCs w:val="21"/>
                <w14:textFill>
                  <w14:solidFill>
                    <w14:schemeClr w14:val="tx1"/>
                  </w14:solidFill>
                </w14:textFill>
              </w:rPr>
              <w:t>为公共必修课，在专业</w:t>
            </w:r>
            <w:r>
              <w:rPr>
                <w:rFonts w:hint="eastAsia" w:ascii="宋体" w:hAnsi="宋体" w:cs="宋体"/>
                <w:b/>
                <w:color w:val="000000" w:themeColor="text1"/>
                <w:szCs w:val="21"/>
                <w14:textFill>
                  <w14:solidFill>
                    <w14:schemeClr w14:val="tx1"/>
                  </w14:solidFill>
                </w14:textFill>
              </w:rPr>
              <w:t>Ⅱ</w:t>
            </w:r>
            <w:r>
              <w:rPr>
                <w:rFonts w:hint="eastAsia" w:ascii="宋体" w:hAnsi="宋体"/>
                <w:b/>
                <w:color w:val="000000" w:themeColor="text1"/>
                <w:szCs w:val="21"/>
                <w14:textFill>
                  <w14:solidFill>
                    <w14:schemeClr w14:val="tx1"/>
                  </w14:solidFill>
                </w14:textFill>
              </w:rPr>
              <w:t>为专业课，课程</w:t>
            </w:r>
            <w:r>
              <w:rPr>
                <w:rFonts w:ascii="宋体" w:hAnsi="宋体"/>
                <w:b/>
                <w:color w:val="000000" w:themeColor="text1"/>
                <w:szCs w:val="21"/>
                <w14:textFill>
                  <w14:solidFill>
                    <w14:schemeClr w14:val="tx1"/>
                  </w14:solidFill>
                </w14:textFill>
              </w:rPr>
              <w:t>A</w:t>
            </w:r>
            <w:r>
              <w:rPr>
                <w:rFonts w:hint="eastAsia" w:ascii="宋体" w:hAnsi="宋体"/>
                <w:b/>
                <w:color w:val="000000" w:themeColor="text1"/>
                <w:szCs w:val="21"/>
                <w14:textFill>
                  <w14:solidFill>
                    <w14:schemeClr w14:val="tx1"/>
                  </w14:solidFill>
                </w14:textFill>
              </w:rPr>
              <w:t>则归类为专业课。）</w:t>
            </w:r>
          </w:p>
          <w:p>
            <w:pPr>
              <w:adjustRightInd w:val="false"/>
              <w:snapToGrid w:val="false"/>
              <w:rPr>
                <w:rFonts w:hint="eastAsia" w:ascii="宋体" w:hAnsi="宋体"/>
                <w:b/>
                <w:color w:val="000000" w:themeColor="text1"/>
                <w:szCs w:val="21"/>
              </w:rPr>
            </w:pPr>
          </w:p>
          <w:p>
            <w:pPr>
              <w:adjustRightInd w:val="false"/>
              <w:snapToGrid w:val="false"/>
              <w:rPr>
                <w:rFonts w:hint="eastAsia" w:ascii="宋体" w:hAnsi="宋体"/>
                <w:b/>
                <w:color w:val="000000" w:themeColor="text1"/>
                <w:szCs w:val="21"/>
              </w:rPr>
            </w:pPr>
          </w:p>
          <w:p>
            <w:pPr>
              <w:adjustRightInd w:val="false"/>
              <w:snapToGrid w:val="false"/>
              <w:rPr>
                <w:rFonts w:hint="eastAsia" w:ascii="宋体" w:hAnsi="宋体"/>
                <w:b/>
                <w:color w:val="000000" w:themeColor="text1"/>
                <w:szCs w:val="21"/>
              </w:rPr>
            </w:pPr>
          </w:p>
          <w:p>
            <w:pPr>
              <w:adjustRightInd w:val="false"/>
              <w:snapToGrid w:val="false"/>
              <w:rPr>
                <w:rFonts w:hint="eastAsia" w:ascii="宋体" w:hAnsi="宋体"/>
                <w:b/>
                <w:color w:val="000000" w:themeColor="text1"/>
                <w:szCs w:val="21"/>
              </w:rPr>
            </w:pPr>
          </w:p>
          <w:p>
            <w:pPr>
              <w:adjustRightInd w:val="false"/>
              <w:snapToGrid w:val="false"/>
              <w:rPr>
                <w:rFonts w:hint="eastAsia" w:ascii="宋体" w:hAnsi="宋体"/>
                <w:b/>
                <w:color w:val="000000" w:themeColor="text1"/>
                <w:szCs w:val="21"/>
              </w:rPr>
            </w:pPr>
          </w:p>
          <w:p>
            <w:pPr>
              <w:adjustRightInd w:val="false"/>
              <w:snapToGrid w:val="false"/>
              <w:rPr>
                <w:rFonts w:hint="eastAsia" w:ascii="宋体" w:hAnsi="宋体"/>
                <w:b/>
                <w:color w:val="000000" w:themeColor="text1"/>
                <w:szCs w:val="21"/>
              </w:rPr>
            </w:pPr>
          </w:p>
          <w:p>
            <w:pPr>
              <w:adjustRightInd w:val="false"/>
              <w:snapToGrid w:val="false"/>
              <w:rPr>
                <w:rFonts w:hint="eastAsia" w:ascii="宋体" w:hAnsi="宋体"/>
                <w:b/>
                <w:color w:val="000000" w:themeColor="text1"/>
                <w:szCs w:val="21"/>
              </w:rPr>
            </w:pPr>
          </w:p>
          <w:p>
            <w:pPr>
              <w:adjustRightInd w:val="false"/>
              <w:snapToGrid w:val="false"/>
              <w:rPr>
                <w:rFonts w:hint="eastAsia" w:ascii="宋体" w:hAnsi="宋体"/>
                <w:b/>
                <w:color w:val="000000" w:themeColor="text1"/>
                <w:szCs w:val="21"/>
              </w:rPr>
            </w:pPr>
          </w:p>
          <w:p>
            <w:pPr>
              <w:adjustRightInd w:val="false"/>
              <w:snapToGrid w:val="false"/>
              <w:rPr>
                <w:rFonts w:hint="eastAsia" w:ascii="宋体" w:hAnsi="宋体"/>
                <w:b/>
                <w:color w:val="000000" w:themeColor="text1"/>
                <w:szCs w:val="21"/>
              </w:rPr>
            </w:pP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表5-1-2 专业课教学实施情况（学年）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学务科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50130" cy="681990"/>
                  <wp:effectExtent l="0" t="0" r="7620" b="3810"/>
                  <wp:docPr id="44" name="图片 15"/>
                  <wp:cNvGraphicFramePr>
                    <a:graphicFrameLocks noChangeAspect="true"/>
                  </wp:cNvGraphicFramePr>
                  <a:graphic>
                    <a:graphicData uri="http://schemas.openxmlformats.org/drawingml/2006/picture">
                      <pic:pic>
                        <pic:nvPicPr>
                          <pic:cNvPr id="45" name="图片 15"/>
                          <pic:cNvPicPr>
                            <a:picLocks noChangeAspect="true"/>
                          </pic:cNvPicPr>
                        </pic:nvPicPr>
                        <pic:blipFill>
                          <a:blip r:embed="rId17"/>
                          <a:stretch>
                            <a:fillRect/>
                          </a:stretch>
                        </pic:blipFill>
                        <pic:spPr>
                          <a:xfrm>
                            <a:off x="0" y="0"/>
                            <a:ext cx="4850130" cy="682384"/>
                          </a:xfrm>
                          <a:prstGeom prst="rect">
                            <a:avLst/>
                          </a:prstGeom>
                        </pic:spPr>
                      </pic:pic>
                    </a:graphicData>
                  </a:graphic>
                </wp:inline>
              </w:drawing>
            </w:r>
          </w:p>
        </w:tc>
        <w:tc>
          <w:tcPr>
            <w:tcW w:w="4334" w:type="dxa"/>
            <w:shd w:val="clear" w:color="auto" w:fill="auto"/>
            <w:vAlign w:val="center"/>
          </w:tcPr>
          <w:p>
            <w:pPr>
              <w:adjustRightInd w:val="false"/>
              <w:snapToGrid w:val="false"/>
              <w:rPr>
                <w:rFonts w:ascii="宋体" w:hAnsi="宋体"/>
                <w:color w:val="000000"/>
                <w:szCs w:val="21"/>
              </w:rPr>
            </w:pPr>
            <w:r>
              <w:rPr>
                <w:rFonts w:hint="eastAsia" w:ascii="宋体" w:hAnsi="宋体"/>
                <w:b/>
                <w:color w:val="000000"/>
                <w:szCs w:val="21"/>
              </w:rPr>
              <w:t>课程类别：</w:t>
            </w:r>
            <w:r>
              <w:rPr>
                <w:rFonts w:hint="eastAsia" w:ascii="宋体" w:hAnsi="宋体"/>
                <w:color w:val="000000"/>
                <w:szCs w:val="21"/>
              </w:rPr>
              <w:t>指专业课类别，包括专业必修课、专业选修课(含专业限选课、专业任选课)。专业课中可包含专业基础课。</w:t>
            </w:r>
          </w:p>
          <w:p>
            <w:pPr>
              <w:adjustRightInd w:val="false"/>
              <w:snapToGrid w:val="false"/>
              <w:rPr>
                <w:rFonts w:ascii="宋体" w:hAnsi="宋体"/>
                <w:color w:val="000000"/>
                <w:szCs w:val="21"/>
              </w:rPr>
            </w:pPr>
            <w:r>
              <w:rPr>
                <w:rFonts w:hint="eastAsia" w:ascii="宋体" w:hAnsi="宋体"/>
                <w:b/>
                <w:color w:val="000000"/>
                <w:szCs w:val="21"/>
              </w:rPr>
              <w:t>年级：</w:t>
            </w:r>
            <w:r>
              <w:rPr>
                <w:rFonts w:hint="eastAsia" w:ascii="宋体" w:hAnsi="宋体"/>
                <w:color w:val="000000"/>
                <w:szCs w:val="21"/>
              </w:rPr>
              <w:t>指学年度本专业（大类）内此门次课程的开课年级（填写阿拉伯数字，例如“2016”），</w:t>
            </w:r>
            <w:r>
              <w:rPr>
                <w:rFonts w:hint="eastAsia" w:ascii="宋体" w:hAnsi="宋体"/>
                <w:b/>
                <w:color w:val="000000" w:themeColor="text1"/>
                <w:szCs w:val="21"/>
                <w14:textFill>
                  <w14:solidFill>
                    <w14:schemeClr w14:val="tx1"/>
                  </w14:solidFill>
                </w14:textFill>
              </w:rPr>
              <w:t>在不同年级开设的可以多填，用英文分号隔开</w:t>
            </w:r>
            <w:r>
              <w:rPr>
                <w:rFonts w:hint="eastAsia" w:ascii="宋体" w:hAnsi="宋体"/>
                <w:color w:val="000000"/>
                <w:szCs w:val="21"/>
              </w:rPr>
              <w:t>。</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表5-1-3 分专业（大类）专业实验课情况（学年）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实践科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5039995" cy="822325"/>
                  <wp:effectExtent l="0" t="0" r="0" b="0"/>
                  <wp:docPr id="47" name="图片 16"/>
                  <wp:cNvGraphicFramePr>
                    <a:graphicFrameLocks noChangeAspect="true"/>
                  </wp:cNvGraphicFramePr>
                  <a:graphic>
                    <a:graphicData uri="http://schemas.openxmlformats.org/drawingml/2006/picture">
                      <pic:pic>
                        <pic:nvPicPr>
                          <pic:cNvPr id="48" name="图片 16"/>
                          <pic:cNvPicPr>
                            <a:picLocks noChangeAspect="true"/>
                          </pic:cNvPicPr>
                        </pic:nvPicPr>
                        <pic:blipFill>
                          <a:blip r:embed="rId18"/>
                          <a:stretch>
                            <a:fillRect/>
                          </a:stretch>
                        </pic:blipFill>
                        <pic:spPr>
                          <a:xfrm>
                            <a:off x="0" y="0"/>
                            <a:ext cx="5040000" cy="822553"/>
                          </a:xfrm>
                          <a:prstGeom prst="rect">
                            <a:avLst/>
                          </a:prstGeom>
                        </pic:spPr>
                      </pic:pic>
                    </a:graphicData>
                  </a:graphic>
                </wp:inline>
              </w:drawing>
            </w:r>
          </w:p>
        </w:tc>
        <w:tc>
          <w:tcPr>
            <w:tcW w:w="4334" w:type="dxa"/>
            <w:shd w:val="clear" w:color="auto" w:fill="auto"/>
            <w:vAlign w:val="center"/>
          </w:tcPr>
          <w:p>
            <w:pPr>
              <w:adjustRightInd w:val="false"/>
              <w:snapToGrid w:val="false"/>
              <w:rPr>
                <w:rFonts w:ascii="宋体" w:hAnsi="宋体"/>
                <w:color w:val="000000"/>
                <w:szCs w:val="21"/>
              </w:rPr>
            </w:pPr>
            <w:r>
              <w:rPr>
                <w:rFonts w:ascii="宋体" w:hAnsi="宋体"/>
                <w:b/>
                <w:color w:val="000000"/>
                <w:szCs w:val="21"/>
              </w:rPr>
              <w:t>课程名称：</w:t>
            </w:r>
            <w:r>
              <w:rPr>
                <w:rFonts w:ascii="宋体" w:hAnsi="宋体"/>
                <w:color w:val="000000"/>
                <w:szCs w:val="21"/>
              </w:rPr>
              <w:t>指专业（大类）的专业实验课程（包括理论（含实验）、独立设置实验课）。</w:t>
            </w:r>
          </w:p>
          <w:p>
            <w:pPr>
              <w:adjustRightInd w:val="false"/>
              <w:snapToGrid w:val="false"/>
              <w:rPr>
                <w:rFonts w:ascii="宋体" w:hAnsi="宋体"/>
                <w:color w:val="FF0000"/>
                <w:szCs w:val="21"/>
              </w:rPr>
            </w:pPr>
            <w:r>
              <w:rPr>
                <w:rFonts w:hint="eastAsia" w:ascii="宋体" w:hAnsi="宋体"/>
                <w:b/>
                <w:bCs/>
                <w:color w:val="FF0000"/>
                <w:szCs w:val="21"/>
              </w:rPr>
              <w:t>实验学时：</w:t>
            </w:r>
            <w:r>
              <w:rPr>
                <w:rFonts w:hint="eastAsia" w:ascii="宋体" w:hAnsi="宋体"/>
                <w:color w:val="FF0000"/>
                <w:szCs w:val="21"/>
              </w:rPr>
              <w:t>指该门课程使用该实验场所的实验学时数。</w:t>
            </w:r>
          </w:p>
          <w:p>
            <w:pPr>
              <w:adjustRightInd w:val="false"/>
              <w:snapToGrid w:val="false"/>
              <w:rPr>
                <w:rFonts w:ascii="宋体" w:hAnsi="宋体"/>
                <w:b/>
                <w:color w:val="000000"/>
                <w:szCs w:val="21"/>
              </w:rPr>
            </w:pPr>
            <w:r>
              <w:rPr>
                <w:rFonts w:hint="eastAsia" w:ascii="宋体" w:hAnsi="宋体"/>
                <w:b/>
                <w:color w:val="000000"/>
                <w:szCs w:val="21"/>
              </w:rPr>
              <w:t>注：1.场所名称、场所代码，</w:t>
            </w:r>
            <w:r>
              <w:rPr>
                <w:rFonts w:hint="eastAsia" w:ascii="宋体" w:hAnsi="宋体"/>
                <w:color w:val="000000" w:themeColor="text1"/>
                <w:szCs w:val="21"/>
                <w14:textFill>
                  <w14:solidFill>
                    <w14:schemeClr w14:val="tx1"/>
                  </w14:solidFill>
                </w14:textFill>
              </w:rPr>
              <w:t>与</w:t>
            </w:r>
            <w:r>
              <w:rPr>
                <w:rFonts w:ascii="宋体" w:hAnsi="宋体"/>
                <w:color w:val="000000" w:themeColor="text1"/>
                <w:szCs w:val="21"/>
                <w14:textFill>
                  <w14:solidFill>
                    <w14:schemeClr w14:val="tx1"/>
                  </w14:solidFill>
                </w14:textFill>
              </w:rPr>
              <w:t>1-</w:t>
            </w:r>
            <w:r>
              <w:rPr>
                <w:rFonts w:hint="eastAsia" w:ascii="宋体" w:hAnsi="宋体"/>
                <w:color w:val="000000" w:themeColor="text1"/>
                <w:szCs w:val="21"/>
                <w14:textFill>
                  <w14:solidFill>
                    <w14:schemeClr w14:val="tx1"/>
                  </w14:solidFill>
                </w14:textFill>
              </w:rPr>
              <w:t>7</w:t>
            </w:r>
            <w:r>
              <w:rPr>
                <w:rFonts w:ascii="宋体" w:hAnsi="宋体"/>
                <w:color w:val="000000" w:themeColor="text1"/>
                <w:szCs w:val="21"/>
                <w14:textFill>
                  <w14:solidFill>
                    <w14:schemeClr w14:val="tx1"/>
                  </w14:solidFill>
                </w14:textFill>
              </w:rPr>
              <w:t>-1“</w:t>
            </w:r>
            <w:r>
              <w:rPr>
                <w:rFonts w:hint="eastAsia" w:ascii="宋体" w:hAnsi="宋体"/>
                <w:color w:val="000000" w:themeColor="text1"/>
                <w:szCs w:val="21"/>
                <w14:textFill>
                  <w14:solidFill>
                    <w14:schemeClr w14:val="tx1"/>
                  </w14:solidFill>
                </w14:textFill>
              </w:rPr>
              <w:t>实验场所代码”保持一致；</w:t>
            </w:r>
            <w:r>
              <w:rPr>
                <w:rFonts w:hint="eastAsia" w:ascii="宋体" w:hAnsi="宋体"/>
                <w:b/>
                <w:color w:val="000000"/>
                <w:szCs w:val="21"/>
              </w:rPr>
              <w:t>如不在1-7-1中，名称填报实际名称，场所代码填报“000000”。</w:t>
            </w:r>
          </w:p>
          <w:p>
            <w:pPr>
              <w:numPr>
                <w:ilvl w:val="0"/>
                <w:numId w:val="2"/>
              </w:numPr>
              <w:pBdr/>
              <w:adjustRightInd w:val="false"/>
              <w:snapToGrid w:val="false"/>
              <w:rPr>
                <w:rFonts w:hint="eastAsia" w:ascii="宋体" w:hAnsi="宋体"/>
                <w:bCs/>
                <w:color w:val="FF0000"/>
                <w:szCs w:val="21"/>
              </w:rPr>
            </w:pPr>
            <w:r>
              <w:rPr>
                <w:rFonts w:hint="eastAsia" w:ascii="宋体" w:hAnsi="宋体"/>
                <w:bCs/>
                <w:color w:val="FF0000"/>
                <w:szCs w:val="21"/>
              </w:rPr>
              <w:t>一门课程有多个实验场所的填多行。</w:t>
            </w:r>
          </w:p>
          <w:p>
            <w:pPr>
              <w:numPr>
                <w:ilvl w:val="0"/>
                <w:numId w:val="2"/>
              </w:numPr>
              <w:pBdr>
                <w:bottom/>
              </w:pBdr>
              <w:snapToGrid/>
              <w:spacing w:line="240"/>
              <w:ind/>
              <w:rPr/>
            </w:pPr>
            <w:r>
              <w:rPr>
                <w:rFonts w:ascii="宋体" w:hAnsi="宋体" w:eastAsia="宋体" w:cs="宋体"/>
                <w:i w:val="false"/>
                <w:strike w:val="false"/>
                <w:color w:val="000000"/>
                <w:sz w:val="21"/>
                <w:u w:val="none"/>
              </w:rPr>
              <w:t>表内各行“校内专业（大类）代码</w:t>
            </w:r>
            <w:r>
              <w:rPr>
                <w:rFonts w:ascii="Times New Roman" w:hAnsi="Times New Roman" w:cs="Times New Roman"/>
                <w:i w:val="false"/>
                <w:strike w:val="false"/>
                <w:color w:val="000000"/>
                <w:sz w:val="21"/>
                <w:u w:val="none"/>
              </w:rPr>
              <w:t>+</w:t>
            </w:r>
            <w:r>
              <w:rPr>
                <w:rFonts w:ascii="宋体" w:hAnsi="宋体" w:eastAsia="宋体" w:cs="宋体"/>
                <w:i w:val="false"/>
                <w:strike w:val="false"/>
                <w:color w:val="000000"/>
                <w:sz w:val="21"/>
                <w:u w:val="none"/>
              </w:rPr>
              <w:t>实验场所名称</w:t>
            </w:r>
            <w:r>
              <w:rPr>
                <w:rFonts w:ascii="Times New Roman" w:hAnsi="Times New Roman" w:cs="Times New Roman"/>
                <w:i w:val="false"/>
                <w:strike w:val="false"/>
                <w:color w:val="000000"/>
                <w:sz w:val="21"/>
                <w:u w:val="none"/>
              </w:rPr>
              <w:t>+</w:t>
            </w:r>
            <w:r>
              <w:rPr>
                <w:rFonts w:ascii="宋体" w:hAnsi="宋体" w:eastAsia="宋体" w:cs="宋体"/>
                <w:i w:val="false"/>
                <w:strike w:val="false"/>
                <w:color w:val="000000"/>
                <w:sz w:val="21"/>
                <w:u w:val="none"/>
              </w:rPr>
              <w:t>课程号</w:t>
            </w:r>
            <w:r>
              <w:rPr>
                <w:rFonts w:ascii="Times New Roman" w:hAnsi="Times New Roman" w:cs="Times New Roman"/>
                <w:i w:val="false"/>
                <w:strike w:val="false"/>
                <w:color w:val="000000"/>
                <w:sz w:val="21"/>
                <w:u w:val="none"/>
              </w:rPr>
              <w:t>+</w:t>
            </w:r>
            <w:r>
              <w:rPr>
                <w:rFonts w:ascii="宋体" w:hAnsi="宋体" w:eastAsia="宋体" w:cs="宋体"/>
                <w:i w:val="false"/>
                <w:strike w:val="false"/>
                <w:color w:val="000000"/>
                <w:sz w:val="21"/>
                <w:u w:val="none"/>
              </w:rPr>
              <w:t>实验场所代码”不重复</w:t>
            </w:r>
            <w:r>
              <w:rPr>
                <w:rFonts w:ascii="Times New Roman" w:hAnsi="Times New Roman" w:cs="Times New Roman"/>
                <w:i w:val="false"/>
                <w:strike w:val="false"/>
                <w:color w:val="000000"/>
                <w:sz w:val="21"/>
                <w:u w:val="none"/>
              </w:rPr>
              <w:t>.</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表5-1-4</w:t>
            </w:r>
            <w:r>
              <w:rPr>
                <w:rFonts w:ascii="宋体" w:hAnsi="宋体" w:cs="仿宋_GB2312"/>
                <w:sz w:val="24"/>
              </w:rPr>
              <w:t xml:space="preserve"> </w:t>
            </w:r>
            <w:r>
              <w:rPr>
                <w:rFonts w:hint="eastAsia" w:ascii="宋体" w:hAnsi="宋体" w:cs="仿宋_GB2312"/>
                <w:sz w:val="24"/>
              </w:rPr>
              <w:t>多教师</w:t>
            </w:r>
            <w:r>
              <w:rPr>
                <w:rFonts w:ascii="宋体" w:hAnsi="宋体" w:cs="仿宋_GB2312"/>
                <w:sz w:val="24"/>
              </w:rPr>
              <w:t>授课情况（</w:t>
            </w:r>
            <w:r>
              <w:rPr>
                <w:rFonts w:hint="eastAsia" w:ascii="宋体" w:hAnsi="宋体" w:cs="仿宋_GB2312"/>
                <w:sz w:val="24"/>
              </w:rPr>
              <w:t>学年</w:t>
            </w:r>
            <w:r>
              <w:rPr>
                <w:rFonts w:ascii="宋体" w:hAnsi="宋体" w:cs="仿宋_GB2312"/>
                <w:sz w:val="24"/>
              </w:rPr>
              <w:t>）</w:t>
            </w:r>
            <w:r>
              <w:rPr>
                <w:rFonts w:hint="eastAsia" w:ascii="宋体" w:hAnsi="宋体" w:cs="仿宋_GB2312"/>
                <w:color w:val="FF0000"/>
                <w:sz w:val="24"/>
              </w:rPr>
              <w:t>（新增表）</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学务科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67275" cy="526415"/>
                  <wp:effectExtent l="0" t="0" r="9525" b="6985"/>
                  <wp:docPr id="50" name="图片 17"/>
                  <wp:cNvGraphicFramePr>
                    <a:graphicFrameLocks noChangeAspect="true"/>
                  </wp:cNvGraphicFramePr>
                  <a:graphic>
                    <a:graphicData uri="http://schemas.openxmlformats.org/drawingml/2006/picture">
                      <pic:pic>
                        <pic:nvPicPr>
                          <pic:cNvPr id="51" name="图片 17"/>
                          <pic:cNvPicPr>
                            <a:picLocks noChangeAspect="true"/>
                          </pic:cNvPicPr>
                        </pic:nvPicPr>
                        <pic:blipFill>
                          <a:blip r:embed="rId19"/>
                          <a:stretch>
                            <a:fillRect/>
                          </a:stretch>
                        </pic:blipFill>
                        <pic:spPr>
                          <a:xfrm>
                            <a:off x="0" y="0"/>
                            <a:ext cx="4867275" cy="527025"/>
                          </a:xfrm>
                          <a:prstGeom prst="rect">
                            <a:avLst/>
                          </a:prstGeom>
                        </pic:spPr>
                      </pic:pic>
                    </a:graphicData>
                  </a:graphic>
                </wp:inline>
              </w:drawing>
            </w:r>
          </w:p>
        </w:tc>
        <w:tc>
          <w:tcPr>
            <w:tcW w:w="4334" w:type="dxa"/>
            <w:shd w:val="clear" w:color="auto" w:fill="auto"/>
            <w:vAlign w:val="center"/>
          </w:tcPr>
          <w:p>
            <w:pPr>
              <w:adjustRightInd w:val="false"/>
              <w:snapToGrid w:val="false"/>
              <w:jc w:val="left"/>
              <w:rPr>
                <w:rFonts w:ascii="宋体" w:hAnsi="宋体" w:cs="宋体"/>
                <w:color w:val="FF0000"/>
                <w:kern w:val="0"/>
                <w:szCs w:val="21"/>
                <w:lang w:bidi="ar"/>
              </w:rPr>
            </w:pPr>
            <w:r>
              <w:rPr>
                <w:rFonts w:hint="eastAsia" w:ascii="宋体" w:hAnsi="宋体" w:cs="宋体"/>
                <w:color w:val="FF0000"/>
                <w:kern w:val="0"/>
                <w:szCs w:val="21"/>
                <w:lang w:bidi="ar"/>
              </w:rPr>
              <w:t>1.仅在“表5-1-1开课情况”中多位教师授课的课程填写本表</w:t>
            </w:r>
          </w:p>
          <w:p>
            <w:pPr>
              <w:adjustRightInd w:val="false"/>
              <w:snapToGrid w:val="false"/>
              <w:jc w:val="left"/>
              <w:rPr>
                <w:rFonts w:ascii="宋体" w:hAnsi="宋体" w:cs="宋体"/>
                <w:color w:val="FF0000"/>
                <w:kern w:val="0"/>
                <w:szCs w:val="21"/>
                <w:lang w:bidi="ar"/>
              </w:rPr>
            </w:pPr>
            <w:r>
              <w:rPr>
                <w:rFonts w:hint="eastAsia" w:ascii="宋体" w:hAnsi="宋体" w:cs="宋体"/>
                <w:color w:val="FF0000"/>
                <w:kern w:val="0"/>
                <w:szCs w:val="21"/>
                <w:lang w:bidi="ar"/>
              </w:rPr>
              <w:t>2.开课号、课程名称、总学时与5-1-1保持一致</w:t>
            </w:r>
          </w:p>
          <w:p>
            <w:pPr>
              <w:adjustRightInd w:val="false"/>
              <w:snapToGrid w:val="false"/>
              <w:jc w:val="left"/>
              <w:rPr>
                <w:rFonts w:ascii="宋体" w:hAnsi="宋体"/>
                <w:color w:val="FF0000"/>
                <w:szCs w:val="21"/>
              </w:rPr>
            </w:pPr>
            <w:r>
              <w:rPr>
                <w:rFonts w:hint="eastAsia" w:ascii="宋体" w:hAnsi="宋体" w:cs="宋体"/>
                <w:color w:val="FF0000"/>
                <w:kern w:val="0"/>
                <w:szCs w:val="21"/>
                <w:lang w:bidi="ar"/>
              </w:rPr>
              <w:t>3.同一开课号下，多位教师授课分条填报，多位教师授课学时之和=“总学时”</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表5-2 学生毕业综合训练情况（学年）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实践科</w:t>
            </w:r>
          </w:p>
        </w:tc>
        <w:tc>
          <w:tcPr>
            <w:tcW w:w="7975" w:type="dxa"/>
            <w:shd w:val="clear" w:color="auto" w:fill="auto"/>
            <w:vAlign w:val="center"/>
          </w:tcPr>
          <w:p>
            <w:pPr>
              <w:widowControl/>
              <w:rPr>
                <w:rFonts w:ascii="宋体" w:hAnsi="宋体" w:cstheme="minorBidi"/>
                <w:szCs w:val="22"/>
              </w:rPr>
            </w:pPr>
            <w:r>
              <w:rPr>
                <w:rFonts w:ascii="宋体" w:hAnsi="宋体" w:cstheme="minorBidi"/>
                <w:szCs w:val="22"/>
              </w:rPr>
              <w:drawing>
                <wp:inline distT="0" distB="0" distL="0" distR="0">
                  <wp:extent cx="4920615" cy="1171213"/>
                  <wp:effectExtent l="0" t="0" r="0" b="0"/>
                  <wp:docPr id="53" name="picture" descr="descript"/>
                  <wp:cNvGraphicFramePr/>
                  <a:graphic>
                    <a:graphicData uri="http://schemas.openxmlformats.org/drawingml/2006/picture">
                      <pic:pic>
                        <pic:nvPicPr>
                          <pic:cNvPr id="54" name="picture" descr="descript"/>
                          <pic:cNvPicPr/>
                        </pic:nvPicPr>
                        <pic:blipFill rotWithShape="true">
                          <a:blip r:embed="rId20"/>
                          <a:stretch/>
                        </pic:blipFill>
                        <pic:spPr>
                          <a:xfrm>
                            <a:off x="0" y="0"/>
                            <a:ext cx="4920615" cy="1171213"/>
                          </a:xfrm>
                          <a:prstGeom prst="rect">
                            <a:avLst/>
                          </a:prstGeom>
                        </pic:spPr>
                      </pic:pic>
                    </a:graphicData>
                  </a:graphic>
                </wp:inline>
              </w:drawing>
            </w:r>
          </w:p>
        </w:tc>
        <w:tc>
          <w:tcPr>
            <w:tcW w:w="4334" w:type="dxa"/>
            <w:shd w:val="clear" w:color="auto" w:fill="auto"/>
            <w:vAlign w:val="center"/>
          </w:tcPr>
          <w:p>
            <w:pPr>
              <w:snapToGrid/>
              <w:spacing w:before="0" w:after="0" w:line="240"/>
              <w:ind w:left="0" w:right="0"/>
              <w:jc w:val="left"/>
              <w:rPr/>
            </w:pPr>
            <w:r>
              <w:rPr>
                <w:rFonts w:ascii="宋体" w:hAnsi="宋体" w:eastAsia="宋体" w:cs="宋体"/>
                <w:b/>
                <w:i w:val="false"/>
                <w:strike w:val="false"/>
                <w:color w:val="000000"/>
                <w:sz w:val="20"/>
                <w:u w:val="none"/>
              </w:rPr>
              <w:t>选题类别：</w:t>
            </w:r>
            <w:r>
              <w:rPr>
                <w:rFonts w:ascii="宋体" w:hAnsi="宋体" w:eastAsia="宋体" w:cs="宋体"/>
                <w:i w:val="false"/>
                <w:strike w:val="false"/>
                <w:color w:val="000000"/>
                <w:sz w:val="20"/>
                <w:u w:val="none"/>
              </w:rPr>
              <w:t xml:space="preserve">毕业设计、毕业论文、社会调查报告、作品展示、毕业汇报演出、其他。 </w:t>
            </w:r>
          </w:p>
          <w:p>
            <w:pPr>
              <w:pBdr/>
              <w:snapToGrid/>
              <w:spacing w:before="0" w:after="0" w:line="240"/>
              <w:ind w:left="0" w:right="0"/>
              <w:jc w:val="left"/>
              <w:rPr>
                <w:rFonts w:ascii="宋体" w:hAnsi="宋体" w:eastAsia="宋体" w:cs="宋体"/>
                <w:i w:val="false"/>
                <w:strike w:val="false"/>
                <w:color w:val="000000"/>
                <w:sz w:val="20"/>
                <w:u w:val="none"/>
              </w:rPr>
            </w:pPr>
            <w:r>
              <w:rPr>
                <w:rFonts w:ascii="宋体" w:hAnsi="宋体" w:eastAsia="宋体" w:cs="宋体"/>
                <w:b/>
                <w:i w:val="false"/>
                <w:strike w:val="false"/>
                <w:color w:val="000000"/>
                <w:sz w:val="20"/>
                <w:u w:val="none"/>
              </w:rPr>
              <w:t>指导教师姓名：</w:t>
            </w:r>
            <w:r>
              <w:rPr>
                <w:rFonts w:ascii="宋体" w:hAnsi="宋体" w:eastAsia="宋体" w:cs="宋体"/>
                <w:i w:val="false"/>
                <w:strike w:val="false"/>
                <w:color w:val="000000"/>
                <w:sz w:val="20"/>
                <w:u w:val="none"/>
              </w:rPr>
              <w:t>学生毕业设计/论文实际指导教师，同一个学生有多个指导教师的可多填，不同教师间用英文分号隔开。（校外指导教师无校内工号的，工号填“000000”）</w:t>
            </w:r>
          </w:p>
          <w:p>
            <w:pPr>
              <w:pBdr>
                <w:bottom/>
              </w:pBdr>
              <w:snapToGrid/>
              <w:spacing w:before="0" w:after="0" w:line="240"/>
              <w:ind w:left="0" w:right="0"/>
              <w:jc w:val="left"/>
              <w:rPr/>
            </w:pPr>
            <w:r>
              <w:rPr>
                <w:rFonts w:ascii="宋体" w:hAnsi="宋体" w:eastAsia="宋体" w:cs="宋体"/>
                <w:b/>
                <w:i w:val="false"/>
                <w:strike w:val="false"/>
                <w:color w:val="333333"/>
                <w:sz w:val="21"/>
                <w:u w:val="none"/>
              </w:rPr>
              <w:t>在实验、实习、工程实践和社会调查等社会实践中完成比例：</w:t>
            </w:r>
            <w:r>
              <w:rPr>
                <w:rFonts w:ascii="宋体" w:hAnsi="宋体" w:eastAsia="宋体" w:cs="宋体"/>
                <w:b/>
                <w:i w:val="false"/>
                <w:strike w:val="false"/>
                <w:color w:val="FF0000"/>
                <w:sz w:val="21"/>
                <w:u w:val="none"/>
              </w:rPr>
              <w:t>建议偏应用型专业60%以上，其他专业50%以上。</w:t>
            </w:r>
          </w:p>
          <w:p>
            <w:pPr>
              <w:snapToGrid/>
              <w:spacing w:before="0" w:after="0" w:line="240"/>
              <w:ind w:left="0" w:right="0"/>
              <w:jc w:val="both"/>
              <w:rPr>
                <w:color w:val="333333"/>
              </w:rPr>
            </w:pPr>
            <w:r>
              <w:rPr>
                <w:rFonts w:ascii="宋体" w:hAnsi="宋体" w:eastAsia="宋体" w:cs="宋体"/>
                <w:b/>
                <w:i w:val="false"/>
                <w:strike w:val="false"/>
                <w:color w:val="333333"/>
                <w:sz w:val="20"/>
                <w:u w:val="none"/>
                <w:shd w:val="clear" w:color="auto" w:fill="auto"/>
              </w:rPr>
              <w:t>学年（2023年9月1日至2024年8月31日）</w:t>
            </w:r>
          </w:p>
          <w:p>
            <w:pPr>
              <w:rPr>
                <w:rFonts w:hint="default" w:ascii="宋体" w:hAnsi="宋体" w:eastAsia="宋体"/>
                <w:color w:val="333333"/>
                <w:szCs w:val="21"/>
                <w:lang w:val="en-US" w:eastAsia="zh-CN"/>
              </w:rPr>
            </w:pPr>
          </w:p>
        </w:tc>
      </w:tr>
      <w:tr>
        <w:trPr>
          <w:trHeight w:val="285" w:hRule="atLeast"/>
        </w:trPr>
        <w:tc>
          <w:tcPr>
            <w:tcW w:w="15474" w:type="dxa"/>
            <w:gridSpan w:val="4"/>
            <w:shd w:val="clear" w:color="auto" w:fill="auto"/>
            <w:vAlign w:val="center"/>
          </w:tcPr>
          <w:p>
            <w:pPr>
              <w:rPr>
                <w:rFonts w:ascii="宋体" w:hAnsi="宋体" w:cs="仿宋_GB2312"/>
                <w:b/>
                <w:sz w:val="24"/>
              </w:rPr>
            </w:pPr>
            <w:r>
              <w:rPr>
                <w:rFonts w:hint="eastAsia" w:ascii="宋体" w:hAnsi="宋体" w:cs="仿宋_GB2312"/>
                <w:b/>
                <w:sz w:val="24"/>
              </w:rPr>
              <w:t>6.学生信息</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表6-6-1 学生参加大学生创新创业训练计划情况（学年）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实践科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5039995" cy="572770"/>
                  <wp:effectExtent l="0" t="0" r="0" b="0"/>
                  <wp:docPr id="56" name="图片 23"/>
                  <wp:cNvGraphicFramePr>
                    <a:graphicFrameLocks noChangeAspect="true"/>
                  </wp:cNvGraphicFramePr>
                  <a:graphic>
                    <a:graphicData uri="http://schemas.openxmlformats.org/drawingml/2006/picture">
                      <pic:pic>
                        <pic:nvPicPr>
                          <pic:cNvPr id="57" name="图片 23"/>
                          <pic:cNvPicPr>
                            <a:picLocks noChangeAspect="true"/>
                          </pic:cNvPicPr>
                        </pic:nvPicPr>
                        <pic:blipFill>
                          <a:blip r:embed="rId21"/>
                          <a:stretch>
                            <a:fillRect/>
                          </a:stretch>
                        </pic:blipFill>
                        <pic:spPr>
                          <a:xfrm>
                            <a:off x="0" y="0"/>
                            <a:ext cx="5040000" cy="573235"/>
                          </a:xfrm>
                          <a:prstGeom prst="rect">
                            <a:avLst/>
                          </a:prstGeom>
                        </pic:spPr>
                      </pic:pic>
                    </a:graphicData>
                  </a:graphic>
                </wp:inline>
              </w:drawing>
            </w:r>
          </w:p>
        </w:tc>
        <w:tc>
          <w:tcPr>
            <w:tcW w:w="4334" w:type="dxa"/>
            <w:shd w:val="clear" w:color="auto" w:fill="auto"/>
            <w:vAlign w:val="center"/>
          </w:tcPr>
          <w:p>
            <w:pPr>
              <w:snapToGrid/>
              <w:spacing w:line="240"/>
              <w:rPr/>
            </w:pPr>
            <w:r>
              <w:rPr>
                <w:rFonts w:ascii="宋体" w:hAnsi="宋体" w:eastAsia="宋体" w:cs="宋体"/>
                <w:b/>
                <w:i w:val="false"/>
                <w:strike w:val="false"/>
                <w:color w:val="000000"/>
                <w:sz w:val="21"/>
                <w:u w:val="none"/>
              </w:rPr>
              <w:t>级别：</w:t>
            </w:r>
            <w:r>
              <w:rPr>
                <w:rFonts w:ascii="宋体" w:hAnsi="宋体" w:eastAsia="宋体" w:cs="宋体"/>
                <w:i w:val="false"/>
                <w:strike w:val="false"/>
                <w:color w:val="000000"/>
                <w:sz w:val="21"/>
                <w:u w:val="none"/>
              </w:rPr>
              <w:t>国家、省部级。</w:t>
            </w:r>
          </w:p>
          <w:p>
            <w:pPr>
              <w:snapToGrid/>
              <w:spacing w:line="240"/>
              <w:rPr/>
            </w:pPr>
            <w:r>
              <w:rPr>
                <w:rFonts w:ascii="宋体" w:hAnsi="宋体" w:eastAsia="宋体" w:cs="宋体"/>
                <w:b/>
                <w:i w:val="false"/>
                <w:strike w:val="false"/>
                <w:color w:val="000000"/>
                <w:sz w:val="21"/>
                <w:u w:val="none"/>
              </w:rPr>
              <w:t>项目类别</w:t>
            </w:r>
            <w:r>
              <w:rPr>
                <w:rFonts w:ascii="宋体" w:hAnsi="宋体" w:eastAsia="宋体" w:cs="宋体"/>
                <w:i w:val="false"/>
                <w:strike w:val="false"/>
                <w:color w:val="000000"/>
                <w:sz w:val="21"/>
                <w:u w:val="none"/>
              </w:rPr>
              <w:t>：创新、创业。</w:t>
            </w:r>
          </w:p>
          <w:p>
            <w:pPr>
              <w:snapToGrid/>
              <w:spacing w:line="240"/>
              <w:rPr/>
            </w:pPr>
            <w:r>
              <w:rPr>
                <w:rFonts w:ascii="宋体" w:hAnsi="宋体" w:eastAsia="宋体" w:cs="宋体"/>
                <w:i w:val="false"/>
                <w:strike w:val="false"/>
                <w:color w:val="000000"/>
                <w:sz w:val="21"/>
                <w:u w:val="none"/>
              </w:rPr>
              <w:t>注：只填报学年内新立项项目。</w:t>
            </w:r>
          </w:p>
          <w:p>
            <w:pPr>
              <w:pBdr/>
              <w:adjustRightInd w:val="false"/>
              <w:snapToGrid w:val="false"/>
              <w:rPr>
                <w:rFonts w:hint="eastAsia" w:ascii="宋体" w:hAnsi="宋体"/>
                <w:color w:val="FF0000"/>
                <w:szCs w:val="21"/>
                <w:lang w:val="en-US" w:eastAsia="zh-CN"/>
              </w:rPr>
            </w:pPr>
            <w:r>
              <w:rPr>
                <w:rFonts w:hint="eastAsia" w:ascii="宋体" w:hAnsi="宋体"/>
                <w:color w:val="FF0000"/>
                <w:szCs w:val="21"/>
                <w:lang w:eastAsia="zh-CN"/>
              </w:rPr>
              <w:t>“</w:t>
            </w:r>
            <w:r>
              <w:rPr>
                <w:rFonts w:hint="eastAsia" w:ascii="宋体" w:hAnsi="宋体"/>
                <w:color w:val="FF0000"/>
                <w:szCs w:val="21"/>
                <w:lang w:val="en-US" w:eastAsia="zh-CN"/>
              </w:rPr>
              <w:t>学号+项目名称+项目类别</w:t>
            </w:r>
            <w:r>
              <w:rPr>
                <w:rFonts w:hint="eastAsia" w:ascii="宋体" w:hAnsi="宋体"/>
                <w:color w:val="FF0000"/>
                <w:szCs w:val="21"/>
                <w:lang w:eastAsia="zh-CN"/>
              </w:rPr>
              <w:t>”</w:t>
            </w:r>
            <w:r>
              <w:rPr>
                <w:rFonts w:hint="eastAsia" w:ascii="宋体" w:hAnsi="宋体"/>
                <w:color w:val="FF0000"/>
                <w:szCs w:val="21"/>
                <w:lang w:val="en-US" w:eastAsia="zh-CN"/>
              </w:rPr>
              <w:t>不重复；</w:t>
            </w:r>
          </w:p>
          <w:p>
            <w:pPr>
              <w:pBdr>
                <w:bottom/>
              </w:pBdr>
              <w:snapToGrid/>
              <w:spacing w:line="240"/>
              <w:rPr/>
            </w:pPr>
            <w:r>
              <w:rPr>
                <w:rFonts w:ascii="Calibri" w:hAnsi="Calibri" w:cs="Calibri"/>
                <w:i w:val="false"/>
                <w:strike w:val="false"/>
                <w:color w:val="000000"/>
                <w:sz w:val="21"/>
                <w:u w:val="none"/>
              </w:rPr>
              <w:t>.</w:t>
            </w:r>
            <w:r>
              <w:rPr>
                <w:rFonts w:ascii="宋体" w:hAnsi="宋体" w:eastAsia="宋体" w:cs="宋体"/>
                <w:i w:val="false"/>
                <w:strike w:val="false"/>
                <w:color w:val="000000"/>
                <w:sz w:val="21"/>
                <w:u w:val="none"/>
              </w:rPr>
              <w:t xml:space="preserve">“学号”和“学生姓名”与 </w:t>
            </w:r>
            <w:r>
              <w:rPr>
                <w:rFonts w:ascii="Calibri" w:hAnsi="Calibri" w:cs="Calibri"/>
                <w:i w:val="false"/>
                <w:strike w:val="false"/>
                <w:color w:val="000000"/>
                <w:sz w:val="21"/>
                <w:u w:val="none"/>
              </w:rPr>
              <w:t>1-6</w:t>
            </w:r>
            <w:r>
              <w:rPr>
                <w:rFonts w:ascii="宋体" w:hAnsi="宋体" w:eastAsia="宋体" w:cs="宋体"/>
                <w:i w:val="false"/>
                <w:strike w:val="false"/>
                <w:color w:val="000000"/>
                <w:sz w:val="21"/>
                <w:u w:val="none"/>
              </w:rPr>
              <w:t>“学号”和“学生姓名”保持一致。</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表6-6-3 学生获省级及以上各类竞赛奖励情况（学年）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学工部（处）、教务处</w:t>
            </w:r>
            <w:r>
              <w:rPr>
                <w:rFonts w:hint="eastAsia" w:ascii="宋体" w:hAnsi="宋体" w:cs="仿宋_GB2312"/>
                <w:b/>
                <w:sz w:val="24"/>
              </w:rPr>
              <w:t>实践科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5039995" cy="514985"/>
                  <wp:effectExtent l="0" t="0" r="0" b="0"/>
                  <wp:docPr id="59" name="图片 24"/>
                  <wp:cNvGraphicFramePr>
                    <a:graphicFrameLocks noChangeAspect="true"/>
                  </wp:cNvGraphicFramePr>
                  <a:graphic>
                    <a:graphicData uri="http://schemas.openxmlformats.org/drawingml/2006/picture">
                      <pic:pic>
                        <pic:nvPicPr>
                          <pic:cNvPr id="60" name="图片 24"/>
                          <pic:cNvPicPr>
                            <a:picLocks noChangeAspect="true"/>
                          </pic:cNvPicPr>
                        </pic:nvPicPr>
                        <pic:blipFill>
                          <a:blip r:embed="rId22"/>
                          <a:stretch>
                            <a:fillRect/>
                          </a:stretch>
                        </pic:blipFill>
                        <pic:spPr>
                          <a:xfrm>
                            <a:off x="0" y="0"/>
                            <a:ext cx="5040000" cy="515200"/>
                          </a:xfrm>
                          <a:prstGeom prst="rect">
                            <a:avLst/>
                          </a:prstGeom>
                        </pic:spPr>
                      </pic:pic>
                    </a:graphicData>
                  </a:graphic>
                </wp:inline>
              </w:drawing>
            </w:r>
          </w:p>
        </w:tc>
        <w:tc>
          <w:tcPr>
            <w:tcW w:w="4334" w:type="dxa"/>
            <w:shd w:val="clear" w:color="auto" w:fill="auto"/>
            <w:vAlign w:val="center"/>
          </w:tcPr>
          <w:p>
            <w:pPr>
              <w:adjustRightInd w:val="false"/>
              <w:snapToGrid w:val="false"/>
              <w:rPr>
                <w:rFonts w:ascii="宋体" w:hAnsi="宋体"/>
                <w:color w:val="000000"/>
                <w:kern w:val="0"/>
                <w:szCs w:val="21"/>
              </w:rPr>
            </w:pPr>
            <w:r>
              <w:rPr>
                <w:rFonts w:ascii="宋体" w:hAnsi="宋体"/>
                <w:b/>
                <w:color w:val="000000"/>
                <w:kern w:val="0"/>
                <w:szCs w:val="21"/>
              </w:rPr>
              <w:t>获奖类别</w:t>
            </w:r>
            <w:r>
              <w:rPr>
                <w:rFonts w:ascii="宋体" w:hAnsi="宋体"/>
                <w:color w:val="000000"/>
                <w:kern w:val="0"/>
                <w:szCs w:val="21"/>
              </w:rPr>
              <w:t>：指国家级、省部级，国际级竞赛等同于国家级，全国性行业协会主办赛事</w:t>
            </w:r>
            <w:r>
              <w:rPr>
                <w:rFonts w:hint="eastAsia" w:ascii="宋体" w:hAnsi="宋体"/>
                <w:color w:val="000000"/>
                <w:kern w:val="0"/>
                <w:szCs w:val="21"/>
              </w:rPr>
              <w:t>等同</w:t>
            </w:r>
            <w:r>
              <w:rPr>
                <w:rFonts w:ascii="宋体" w:hAnsi="宋体"/>
                <w:color w:val="000000"/>
                <w:kern w:val="0"/>
                <w:szCs w:val="21"/>
              </w:rPr>
              <w:t>省部级。</w:t>
            </w:r>
          </w:p>
          <w:p>
            <w:pPr>
              <w:adjustRightInd w:val="false"/>
              <w:snapToGrid w:val="false"/>
              <w:rPr>
                <w:rFonts w:ascii="宋体" w:hAnsi="宋体"/>
                <w:color w:val="000000"/>
                <w:szCs w:val="21"/>
              </w:rPr>
            </w:pPr>
            <w:r>
              <w:rPr>
                <w:rFonts w:ascii="宋体" w:hAnsi="宋体"/>
                <w:b/>
                <w:color w:val="000000"/>
                <w:kern w:val="0"/>
                <w:szCs w:val="21"/>
              </w:rPr>
              <w:t>获奖等级</w:t>
            </w:r>
            <w:r>
              <w:rPr>
                <w:rFonts w:ascii="宋体" w:hAnsi="宋体"/>
                <w:color w:val="000000"/>
                <w:kern w:val="0"/>
                <w:szCs w:val="21"/>
              </w:rPr>
              <w:t>：</w:t>
            </w:r>
            <w:r>
              <w:rPr>
                <w:rFonts w:hint="eastAsia" w:ascii="宋体" w:hAnsi="宋体"/>
                <w:color w:val="000000"/>
                <w:kern w:val="0"/>
                <w:szCs w:val="21"/>
              </w:rPr>
              <w:t>指特等奖、一等奖、二等奖、三等奖、</w:t>
            </w:r>
            <w:r>
              <w:rPr>
                <w:rFonts w:hint="eastAsia" w:ascii="宋体" w:hAnsi="宋体"/>
                <w:color w:val="000000"/>
                <w:szCs w:val="21"/>
              </w:rPr>
              <w:t>冠军、亚军、季军、金奖、银奖、铜奖。</w:t>
            </w:r>
          </w:p>
          <w:p>
            <w:pPr>
              <w:adjustRightInd w:val="false"/>
              <w:snapToGrid w:val="false"/>
              <w:rPr>
                <w:rFonts w:ascii="宋体" w:hAnsi="宋体" w:cs="仿宋_GB2312"/>
                <w:sz w:val="24"/>
              </w:rPr>
            </w:pPr>
            <w:r>
              <w:rPr>
                <w:rFonts w:hint="eastAsia" w:ascii="宋体" w:hAnsi="宋体"/>
                <w:b/>
                <w:bCs/>
                <w:color w:val="000000"/>
                <w:szCs w:val="21"/>
              </w:rPr>
              <w:t>竞赛类型：</w:t>
            </w:r>
            <w:r>
              <w:rPr>
                <w:rFonts w:hint="eastAsia" w:ascii="宋体" w:hAnsi="宋体"/>
                <w:b/>
                <w:color w:val="FF0000"/>
                <w:szCs w:val="21"/>
                <w:highlight w:val="none"/>
              </w:rPr>
              <w:t>“互联网+”创新创业大赛、挑战杯、创青春中国青年创新创业大赛、其他。</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表6-6-6 学生发表学术论文情况（学年）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实践科</w:t>
            </w:r>
          </w:p>
        </w:tc>
        <w:tc>
          <w:tcPr>
            <w:tcW w:w="7975" w:type="dxa"/>
            <w:shd w:val="clear" w:color="auto" w:fill="auto"/>
            <w:vAlign w:val="center"/>
          </w:tcPr>
          <w:p>
            <w:pPr>
              <w:widowControl/>
              <w:rPr>
                <w:rFonts w:ascii="宋体" w:hAnsi="宋体" w:cstheme="minorBidi"/>
                <w:szCs w:val="22"/>
              </w:rPr>
            </w:pPr>
            <w:r>
              <w:rPr>
                <w:rFonts w:ascii="宋体" w:hAnsi="宋体" w:cstheme="minorBidi"/>
                <w:szCs w:val="22"/>
              </w:rPr>
              <w:drawing>
                <wp:inline distT="0" distB="0" distL="0" distR="0">
                  <wp:extent cx="4920615" cy="754088"/>
                  <wp:effectExtent l="0" t="0" r="0" b="0"/>
                  <wp:docPr id="62" name="picture" descr="descript"/>
                  <wp:cNvGraphicFramePr/>
                  <a:graphic>
                    <a:graphicData uri="http://schemas.openxmlformats.org/drawingml/2006/picture">
                      <pic:pic>
                        <pic:nvPicPr>
                          <pic:cNvPr id="63" name="picture" descr="descript"/>
                          <pic:cNvPicPr/>
                        </pic:nvPicPr>
                        <pic:blipFill rotWithShape="true">
                          <a:blip r:embed="rId23"/>
                          <a:stretch/>
                        </pic:blipFill>
                        <pic:spPr>
                          <a:xfrm>
                            <a:off x="0" y="0"/>
                            <a:ext cx="4920615" cy="754088"/>
                          </a:xfrm>
                          <a:prstGeom prst="rect">
                            <a:avLst/>
                          </a:prstGeom>
                        </pic:spPr>
                      </pic:pic>
                    </a:graphicData>
                  </a:graphic>
                </wp:inline>
              </w:drawing>
            </w:r>
          </w:p>
        </w:tc>
        <w:tc>
          <w:tcPr>
            <w:tcW w:w="4334" w:type="dxa"/>
            <w:shd w:val="clear" w:color="auto" w:fill="auto"/>
            <w:vAlign w:val="center"/>
          </w:tcPr>
          <w:p>
            <w:pPr>
              <w:snapToGrid/>
              <w:spacing w:before="0" w:after="0" w:line="240"/>
              <w:ind w:left="0" w:right="0"/>
              <w:jc w:val="left"/>
              <w:rPr>
                <w:color w:val="333333"/>
                <w:shd w:val="clear" w:color="auto" w:fill="FFFFFF"/>
              </w:rPr>
            </w:pPr>
            <w:r>
              <w:rPr>
                <w:rFonts w:ascii="宋体" w:hAnsi="宋体" w:eastAsia="宋体" w:cs="宋体"/>
                <w:i w:val="false"/>
                <w:strike w:val="false"/>
                <w:color w:val="333333"/>
                <w:sz w:val="20"/>
                <w:u w:val="none"/>
                <w:shd w:val="clear" w:color="auto" w:fill="FFFFFF"/>
              </w:rPr>
              <w:t>填写</w:t>
            </w:r>
            <w:r>
              <w:rPr>
                <w:rFonts w:ascii="宋体" w:hAnsi="宋体" w:eastAsia="宋体" w:cs="宋体"/>
                <w:b/>
                <w:i w:val="false"/>
                <w:strike w:val="false"/>
                <w:color w:val="333333"/>
                <w:sz w:val="20"/>
                <w:u w:val="none"/>
                <w:shd w:val="clear" w:color="auto" w:fill="FFFFFF"/>
              </w:rPr>
              <w:t>2023年9月1日至2024年8月31日在</w:t>
            </w:r>
            <w:r>
              <w:rPr>
                <w:rFonts w:ascii="宋体" w:hAnsi="宋体" w:eastAsia="宋体" w:cs="宋体"/>
                <w:i w:val="false"/>
                <w:strike w:val="false"/>
                <w:color w:val="333333"/>
                <w:sz w:val="20"/>
                <w:u w:val="none"/>
                <w:shd w:val="clear" w:color="auto" w:fill="FFFFFF"/>
              </w:rPr>
              <w:t xml:space="preserve">校本科生在国内外正式学术刊物上以第一作者发表学术论文。 </w:t>
            </w:r>
          </w:p>
          <w:p>
            <w:pPr>
              <w:snapToGrid/>
              <w:spacing w:before="0" w:after="0" w:line="240"/>
              <w:ind w:left="0" w:right="0"/>
              <w:jc w:val="left"/>
              <w:rPr>
                <w:color w:val="333333"/>
                <w:shd w:val="clear" w:color="auto" w:fill="FFFFFF"/>
              </w:rPr>
            </w:pPr>
            <w:r>
              <w:rPr>
                <w:rFonts w:ascii="宋体" w:hAnsi="宋体" w:eastAsia="宋体" w:cs="宋体"/>
                <w:b/>
                <w:i w:val="false"/>
                <w:strike w:val="false"/>
                <w:color w:val="333333"/>
                <w:sz w:val="20"/>
                <w:u w:val="none"/>
                <w:shd w:val="clear" w:color="auto" w:fill="FFFFFF"/>
              </w:rPr>
              <w:t>收录情况：</w:t>
            </w:r>
            <w:r>
              <w:rPr>
                <w:rFonts w:ascii="宋体" w:hAnsi="宋体" w:eastAsia="宋体" w:cs="宋体"/>
                <w:i w:val="false"/>
                <w:strike w:val="false"/>
                <w:color w:val="333333"/>
                <w:sz w:val="20"/>
                <w:u w:val="none"/>
                <w:shd w:val="clear" w:color="auto" w:fill="FFFFFF"/>
              </w:rPr>
              <w:t xml:space="preserve">指 </w:t>
            </w:r>
            <w:r>
              <w:rPr>
                <w:rFonts w:ascii="'Times New Roman'" w:hAnsi="'Times New Roman'" w:cs="'Times New Roman'"/>
                <w:i w:val="false"/>
                <w:strike w:val="false"/>
                <w:color w:val="333333"/>
                <w:sz w:val="20"/>
                <w:u w:val="none"/>
                <w:shd w:val="clear" w:color="auto" w:fill="FFFFFF"/>
              </w:rPr>
              <w:t>SCI</w:t>
            </w:r>
            <w:r>
              <w:rPr>
                <w:rFonts w:ascii="宋体" w:hAnsi="宋体" w:eastAsia="宋体" w:cs="宋体"/>
                <w:i w:val="false"/>
                <w:strike w:val="false"/>
                <w:color w:val="333333"/>
                <w:sz w:val="20"/>
                <w:u w:val="none"/>
                <w:shd w:val="clear" w:color="auto" w:fill="FFFFFF"/>
              </w:rPr>
              <w:t>（科学引文索引）、</w:t>
            </w:r>
            <w:r>
              <w:rPr>
                <w:rFonts w:ascii="'Times New Roman'" w:hAnsi="'Times New Roman'" w:cs="'Times New Roman'"/>
                <w:i w:val="false"/>
                <w:strike w:val="false"/>
                <w:color w:val="333333"/>
                <w:sz w:val="20"/>
                <w:u w:val="none"/>
                <w:shd w:val="clear" w:color="auto" w:fill="FFFFFF"/>
              </w:rPr>
              <w:t>SSCI</w:t>
            </w:r>
            <w:r>
              <w:rPr>
                <w:rFonts w:ascii="宋体" w:hAnsi="宋体" w:eastAsia="宋体" w:cs="宋体"/>
                <w:i w:val="false"/>
                <w:strike w:val="false"/>
                <w:color w:val="333333"/>
                <w:sz w:val="20"/>
                <w:u w:val="none"/>
                <w:shd w:val="clear" w:color="auto" w:fill="FFFFFF"/>
              </w:rPr>
              <w:t>（社会科学引文索引）、</w:t>
            </w:r>
            <w:r>
              <w:rPr>
                <w:rFonts w:ascii="'Times New Roman'" w:hAnsi="'Times New Roman'" w:cs="'Times New Roman'"/>
                <w:i w:val="false"/>
                <w:strike w:val="false"/>
                <w:color w:val="333333"/>
                <w:sz w:val="20"/>
                <w:u w:val="none"/>
                <w:shd w:val="clear" w:color="auto" w:fill="FFFFFF"/>
              </w:rPr>
              <w:t>EI</w:t>
            </w:r>
            <w:r>
              <w:rPr>
                <w:rFonts w:ascii="宋体" w:hAnsi="宋体" w:eastAsia="宋体" w:cs="宋体"/>
                <w:i w:val="false"/>
                <w:strike w:val="false"/>
                <w:color w:val="333333"/>
                <w:sz w:val="20"/>
                <w:u w:val="none"/>
                <w:shd w:val="clear" w:color="auto" w:fill="FFFFFF"/>
              </w:rPr>
              <w:t>（工程索引）、</w:t>
            </w:r>
            <w:r>
              <w:rPr>
                <w:rFonts w:ascii="'Times New Roman'" w:hAnsi="'Times New Roman'" w:cs="'Times New Roman'"/>
                <w:i w:val="false"/>
                <w:strike w:val="false"/>
                <w:color w:val="333333"/>
                <w:sz w:val="20"/>
                <w:u w:val="none"/>
                <w:shd w:val="clear" w:color="auto" w:fill="FFFFFF"/>
              </w:rPr>
              <w:t>CPCI</w:t>
            </w:r>
            <w:r>
              <w:rPr>
                <w:rFonts w:ascii="宋体" w:hAnsi="宋体" w:eastAsia="宋体" w:cs="宋体"/>
                <w:i w:val="false"/>
                <w:strike w:val="false"/>
                <w:color w:val="333333"/>
                <w:sz w:val="20"/>
                <w:u w:val="none"/>
                <w:shd w:val="clear" w:color="auto" w:fill="FFFFFF"/>
              </w:rPr>
              <w:t>（国际会议录索引）、</w:t>
            </w:r>
            <w:r>
              <w:rPr>
                <w:rFonts w:ascii="'Times New Roman'" w:hAnsi="'Times New Roman'" w:cs="'Times New Roman'"/>
                <w:i w:val="false"/>
                <w:strike w:val="false"/>
                <w:color w:val="333333"/>
                <w:sz w:val="20"/>
                <w:u w:val="none"/>
                <w:shd w:val="clear" w:color="auto" w:fill="FFFFFF"/>
              </w:rPr>
              <w:t>A&amp;HCI</w:t>
            </w:r>
            <w:r>
              <w:rPr>
                <w:rFonts w:ascii="宋体" w:hAnsi="宋体" w:eastAsia="宋体" w:cs="宋体"/>
                <w:i w:val="false"/>
                <w:strike w:val="false"/>
                <w:color w:val="333333"/>
                <w:sz w:val="20"/>
                <w:u w:val="none"/>
                <w:shd w:val="clear" w:color="auto" w:fill="FFFFFF"/>
              </w:rPr>
              <w:t xml:space="preserve">（艺术与人文科学索引）、 </w:t>
            </w:r>
          </w:p>
          <w:p>
            <w:pPr>
              <w:pBdr/>
              <w:snapToGrid/>
              <w:spacing w:before="0" w:after="0" w:line="240"/>
              <w:ind w:left="0" w:right="0"/>
              <w:jc w:val="left"/>
              <w:rPr>
                <w:rFonts w:ascii="宋体" w:hAnsi="宋体" w:eastAsia="宋体" w:cs="宋体"/>
                <w:i w:val="false"/>
                <w:strike w:val="false"/>
                <w:color w:val="333333"/>
                <w:sz w:val="20"/>
                <w:u w:val="none"/>
                <w:shd w:val="clear" w:color="auto" w:fill="FFFFFF"/>
              </w:rPr>
            </w:pPr>
            <w:r>
              <w:rPr>
                <w:rFonts w:ascii="'Times New Roman'" w:hAnsi="'Times New Roman'" w:cs="'Times New Roman'"/>
                <w:i w:val="false"/>
                <w:strike w:val="false"/>
                <w:color w:val="333333"/>
                <w:sz w:val="20"/>
                <w:u w:val="none"/>
                <w:shd w:val="clear" w:color="auto" w:fill="FFFFFF"/>
              </w:rPr>
              <w:t>CSCD</w:t>
            </w:r>
            <w:r>
              <w:rPr>
                <w:rFonts w:ascii="宋体" w:hAnsi="宋体" w:eastAsia="宋体" w:cs="宋体"/>
                <w:i w:val="false"/>
                <w:strike w:val="false"/>
                <w:color w:val="333333"/>
                <w:sz w:val="20"/>
                <w:u w:val="none"/>
                <w:shd w:val="clear" w:color="auto" w:fill="FFFFFF"/>
              </w:rPr>
              <w:t>（中国科技期刊引证报告）、</w:t>
            </w:r>
            <w:r>
              <w:rPr>
                <w:rFonts w:ascii="'Times New Roman'" w:hAnsi="'Times New Roman'" w:cs="'Times New Roman'"/>
                <w:i w:val="false"/>
                <w:strike w:val="false"/>
                <w:color w:val="333333"/>
                <w:sz w:val="20"/>
                <w:u w:val="none"/>
                <w:shd w:val="clear" w:color="auto" w:fill="FFFFFF"/>
              </w:rPr>
              <w:t>CSSCI</w:t>
            </w:r>
            <w:r>
              <w:rPr>
                <w:rFonts w:ascii="宋体" w:hAnsi="宋体" w:eastAsia="宋体" w:cs="宋体"/>
                <w:i w:val="false"/>
                <w:strike w:val="false"/>
                <w:color w:val="333333"/>
                <w:sz w:val="20"/>
                <w:u w:val="none"/>
                <w:shd w:val="clear" w:color="auto" w:fill="FFFFFF"/>
              </w:rPr>
              <w:t>（中文社会科学引文索引）、北大中文核心期刊、</w:t>
            </w:r>
            <w:r>
              <w:rPr>
                <w:rFonts w:ascii="宋体" w:hAnsi="宋体" w:eastAsia="宋体" w:cs="宋体"/>
                <w:b/>
                <w:i w:val="false"/>
                <w:strike w:val="false"/>
                <w:color w:val="333333"/>
                <w:sz w:val="20"/>
                <w:u w:val="none"/>
                <w:shd w:val="clear" w:color="auto" w:fill="FFFFFF"/>
              </w:rPr>
              <w:t>其他期刊</w:t>
            </w:r>
            <w:r>
              <w:rPr>
                <w:rFonts w:ascii="宋体" w:hAnsi="宋体" w:eastAsia="宋体" w:cs="宋体"/>
                <w:i w:val="false"/>
                <w:strike w:val="false"/>
                <w:color w:val="333333"/>
                <w:sz w:val="20"/>
                <w:u w:val="none"/>
                <w:shd w:val="clear" w:color="auto" w:fill="FFFFFF"/>
              </w:rPr>
              <w:t>。若同一篇论文收录在多种数据库中，只填报一种</w:t>
            </w:r>
          </w:p>
          <w:p>
            <w:pPr>
              <w:pBdr/>
              <w:snapToGrid/>
              <w:spacing w:line="240"/>
              <w:rPr>
                <w:rFonts w:ascii="宋体" w:hAnsi="宋体" w:eastAsia="宋体" w:cs="宋体"/>
                <w:i w:val="false"/>
                <w:strike w:val="false"/>
                <w:color w:val="000000"/>
                <w:sz w:val="21"/>
                <w:u w:val="none"/>
              </w:rPr>
            </w:pPr>
            <w:r>
              <w:rPr>
                <w:rFonts w:ascii="Calibri" w:hAnsi="Calibri" w:cs="Calibri"/>
                <w:i w:val="false"/>
                <w:strike w:val="false"/>
                <w:color w:val="000000"/>
                <w:sz w:val="21"/>
                <w:u w:val="none"/>
              </w:rPr>
              <w:t>.</w:t>
            </w:r>
            <w:r>
              <w:rPr>
                <w:rFonts w:ascii="宋体" w:hAnsi="宋体" w:eastAsia="宋体" w:cs="宋体"/>
                <w:i w:val="false"/>
                <w:strike w:val="false"/>
                <w:color w:val="000000"/>
                <w:sz w:val="21"/>
                <w:u w:val="none"/>
              </w:rPr>
              <w:t>“学号</w:t>
            </w:r>
            <w:r>
              <w:rPr>
                <w:rFonts w:ascii="Calibri" w:hAnsi="Calibri" w:cs="Calibri"/>
                <w:i w:val="false"/>
                <w:strike w:val="false"/>
                <w:color w:val="000000"/>
                <w:sz w:val="21"/>
                <w:u w:val="none"/>
              </w:rPr>
              <w:t>+</w:t>
            </w:r>
            <w:r>
              <w:rPr>
                <w:rFonts w:ascii="宋体" w:hAnsi="宋体" w:eastAsia="宋体" w:cs="宋体"/>
                <w:i w:val="false"/>
                <w:strike w:val="false"/>
                <w:color w:val="000000"/>
                <w:sz w:val="21"/>
                <w:u w:val="none"/>
              </w:rPr>
              <w:t>论文名称”不重复；</w:t>
            </w:r>
          </w:p>
          <w:p>
            <w:pPr>
              <w:pBdr>
                <w:bottom/>
              </w:pBdr>
              <w:snapToGrid/>
              <w:spacing w:line="240"/>
              <w:rPr/>
            </w:pPr>
            <w:r>
              <w:rPr>
                <w:rFonts w:ascii="宋体" w:hAnsi="宋体" w:eastAsia="宋体" w:cs="宋体"/>
                <w:i w:val="false"/>
                <w:strike w:val="false"/>
                <w:color w:val="000000"/>
                <w:sz w:val="21"/>
                <w:u w:val="none"/>
              </w:rPr>
              <w:t>“填报年份</w:t>
            </w:r>
            <w:r>
              <w:rPr>
                <w:rFonts w:ascii="Calibri" w:hAnsi="Calibri" w:cs="Calibri"/>
                <w:i w:val="false"/>
                <w:strike w:val="false"/>
                <w:color w:val="000000"/>
                <w:sz w:val="21"/>
                <w:u w:val="none"/>
              </w:rPr>
              <w:t>-1</w:t>
            </w:r>
            <w:r>
              <w:rPr>
                <w:rFonts w:ascii="宋体" w:hAnsi="宋体" w:eastAsia="宋体" w:cs="宋体"/>
                <w:i w:val="false"/>
                <w:strike w:val="false"/>
                <w:color w:val="000000"/>
                <w:sz w:val="21"/>
                <w:u w:val="none"/>
              </w:rPr>
              <w:t>”≤获奖时间≤填报年份。</w:t>
            </w:r>
          </w:p>
        </w:tc>
      </w:tr>
      <w:tr>
        <w:trPr>
          <w:trHeight w:val="285" w:hRule="atLeast"/>
        </w:trPr>
        <w:tc>
          <w:tcPr>
            <w:tcW w:w="2079" w:type="dxa"/>
            <w:shd w:val="clear" w:color="auto" w:fill="auto"/>
            <w:vAlign w:val="center"/>
          </w:tcPr>
          <w:p>
            <w:pPr>
              <w:rPr>
                <w:rFonts w:ascii="宋体" w:hAnsi="宋体" w:eastAsia="宋体" w:cs="仿宋_GB2312"/>
                <w:kern w:val="2"/>
                <w:sz w:val="24"/>
                <w:szCs w:val="24"/>
                <w:lang w:val="en-US" w:eastAsia="zh-CN" w:bidi="ar-SA"/>
              </w:rPr>
            </w:pPr>
            <w:r>
              <w:rPr>
                <w:rFonts w:hint="eastAsia" w:ascii="宋体" w:hAnsi="宋体" w:cs="仿宋_GB2312"/>
                <w:sz w:val="24"/>
              </w:rPr>
              <w:t>表6-7 本科生交流情况（学年）</w:t>
            </w:r>
          </w:p>
        </w:tc>
        <w:tc>
          <w:tcPr>
            <w:tcW w:w="1086" w:type="dxa"/>
            <w:shd w:val="clear" w:color="auto" w:fill="auto"/>
            <w:vAlign w:val="center"/>
          </w:tcPr>
          <w:p>
            <w:pPr>
              <w:rPr>
                <w:rFonts w:ascii="宋体" w:hAnsi="宋体" w:eastAsia="宋体" w:cs="仿宋_GB2312"/>
                <w:kern w:val="2"/>
                <w:sz w:val="24"/>
                <w:szCs w:val="24"/>
                <w:lang w:val="en-US" w:eastAsia="zh-CN" w:bidi="ar-SA"/>
              </w:rPr>
            </w:pPr>
            <w:r>
              <w:rPr>
                <w:rFonts w:hint="eastAsia" w:ascii="宋体" w:hAnsi="宋体" w:cs="仿宋_GB2312"/>
                <w:sz w:val="24"/>
              </w:rPr>
              <w:t>教务处</w:t>
            </w:r>
            <w:r>
              <w:rPr>
                <w:rFonts w:hint="eastAsia" w:ascii="宋体" w:hAnsi="宋体" w:cs="仿宋_GB2312"/>
                <w:b/>
                <w:sz w:val="24"/>
              </w:rPr>
              <w:t>学务</w:t>
            </w:r>
            <w:r>
              <w:rPr>
                <w:rFonts w:ascii="宋体" w:hAnsi="宋体" w:cs="仿宋_GB2312"/>
                <w:b/>
                <w:sz w:val="24"/>
              </w:rPr>
              <w:t>科</w:t>
            </w:r>
          </w:p>
        </w:tc>
        <w:tc>
          <w:tcPr>
            <w:tcW w:w="7975" w:type="dxa"/>
            <w:shd w:val="clear" w:color="auto" w:fill="auto"/>
            <w:vAlign w:val="center"/>
          </w:tcPr>
          <w:p>
            <w:pPr>
              <w:rPr>
                <w:rFonts w:hint="eastAsia" w:ascii="宋体" w:hAnsi="宋体" w:eastAsia="宋体" w:cs="仿宋_GB2312"/>
                <w:kern w:val="2"/>
                <w:sz w:val="24"/>
                <w:szCs w:val="24"/>
                <w:lang w:val="en-US" w:eastAsia="zh-CN" w:bidi="ar-SA"/>
              </w:rPr>
            </w:pPr>
            <w:r>
              <w:rPr>
                <w:rFonts w:hint="eastAsia" w:ascii="宋体" w:hAnsi="宋体" w:eastAsia="宋体" w:cs="仿宋_GB2312"/>
                <w:sz w:val="24"/>
                <w:lang w:eastAsia="zh-CN"/>
              </w:rPr>
              <w:drawing>
                <wp:inline distT="0" distB="0" distL="114300" distR="114300">
                  <wp:extent cx="4879975" cy="1142365"/>
                  <wp:effectExtent l="0" t="0" r="15875" b="635"/>
                  <wp:docPr id="65" name="图片 26" descr="1698656289448"/>
                  <wp:cNvGraphicFramePr>
                    <a:graphicFrameLocks noChangeAspect="true"/>
                  </wp:cNvGraphicFramePr>
                  <a:graphic>
                    <a:graphicData uri="http://schemas.openxmlformats.org/drawingml/2006/picture">
                      <pic:pic>
                        <pic:nvPicPr>
                          <pic:cNvPr id="66" name="图片 26" descr="1698656289448"/>
                          <pic:cNvPicPr>
                            <a:picLocks noChangeAspect="true"/>
                          </pic:cNvPicPr>
                        </pic:nvPicPr>
                        <pic:blipFill>
                          <a:blip r:embed="rId24"/>
                          <a:srcRect/>
                          <a:stretch>
                            <a:fillRect/>
                          </a:stretch>
                        </pic:blipFill>
                        <pic:spPr>
                          <a:xfrm>
                            <a:off x="0" y="0"/>
                            <a:ext cx="4879975" cy="1142365"/>
                          </a:xfrm>
                          <a:prstGeom prst="rect">
                            <a:avLst/>
                          </a:prstGeom>
                          <a:ln/>
                        </pic:spPr>
                      </pic:pic>
                    </a:graphicData>
                  </a:graphic>
                </wp:inline>
              </w:drawing>
            </w:r>
          </w:p>
        </w:tc>
        <w:tc>
          <w:tcPr>
            <w:tcW w:w="4334" w:type="dxa"/>
            <w:shd w:val="clear" w:color="auto" w:fill="auto"/>
            <w:vAlign w:val="center"/>
          </w:tcPr>
          <w:p>
            <w:pPr>
              <w:adjustRightInd w:val="false"/>
              <w:snapToGrid w:val="false"/>
              <w:rPr>
                <w:rFonts w:hint="eastAsia" w:ascii="宋体" w:hAnsi="宋体"/>
                <w:color w:val="000000"/>
                <w:kern w:val="0"/>
                <w:sz w:val="21"/>
                <w:szCs w:val="21"/>
              </w:rPr>
            </w:pPr>
            <w:r>
              <w:rPr>
                <w:rFonts w:hint="eastAsia" w:ascii="宋体" w:hAnsi="宋体"/>
                <w:b/>
                <w:bCs/>
                <w:color w:val="000000" w:themeColor="text1"/>
                <w:kern w:val="0"/>
                <w:sz w:val="21"/>
                <w:szCs w:val="21"/>
                <w14:textFill>
                  <w14:solidFill>
                    <w14:schemeClr w14:val="tx1"/>
                  </w14:solidFill>
                </w14:textFill>
              </w:rPr>
              <w:t>交流学生数：</w:t>
            </w:r>
            <w:r>
              <w:rPr>
                <w:rFonts w:hint="eastAsia" w:ascii="宋体" w:hAnsi="宋体"/>
                <w:color w:val="000000"/>
                <w:kern w:val="0"/>
                <w:sz w:val="21"/>
                <w:szCs w:val="21"/>
              </w:rPr>
              <w:t>指依据相关协议，本校学生到其他高校或者其他高校学生到本校进行一段时间（一般应在一个学期及以上时间，下同）学习、交流活动的总人数。</w:t>
              <w:tab/>
              <w:tab/>
              <w:tab/>
            </w:r>
          </w:p>
          <w:p>
            <w:pPr>
              <w:adjustRightInd w:val="false"/>
              <w:snapToGrid w:val="false"/>
              <w:rPr>
                <w:rFonts w:hint="eastAsia" w:ascii="宋体" w:hAnsi="宋体"/>
                <w:color w:val="000000"/>
                <w:kern w:val="0"/>
                <w:sz w:val="21"/>
                <w:szCs w:val="21"/>
              </w:rPr>
            </w:pPr>
            <w:r>
              <w:rPr>
                <w:rFonts w:hint="eastAsia" w:ascii="宋体" w:hAnsi="宋体"/>
                <w:b/>
                <w:bCs/>
                <w:color w:val="000000"/>
                <w:kern w:val="0"/>
                <w:sz w:val="21"/>
                <w:szCs w:val="21"/>
              </w:rPr>
              <w:t>本专业到境外：</w:t>
            </w:r>
            <w:r>
              <w:rPr>
                <w:rFonts w:hint="eastAsia" w:ascii="宋体" w:hAnsi="宋体"/>
                <w:color w:val="000000"/>
                <w:kern w:val="0"/>
                <w:sz w:val="21"/>
                <w:szCs w:val="21"/>
              </w:rPr>
              <w:t>指本专业学生到境外（含港、澳、台地区）高等学校进行一段时间的学习、交流活动的总人数。（一个学期及以上时间）</w:t>
            </w:r>
          </w:p>
          <w:p>
            <w:pPr>
              <w:adjustRightInd w:val="false"/>
              <w:snapToGrid w:val="false"/>
              <w:rPr>
                <w:rFonts w:hint="eastAsia" w:ascii="宋体" w:hAnsi="宋体"/>
                <w:color w:val="000000"/>
                <w:kern w:val="0"/>
                <w:sz w:val="21"/>
                <w:szCs w:val="21"/>
              </w:rPr>
            </w:pPr>
            <w:r>
              <w:rPr>
                <w:rFonts w:hint="eastAsia" w:ascii="宋体" w:hAnsi="宋体"/>
                <w:b/>
                <w:bCs/>
                <w:color w:val="000000"/>
                <w:kern w:val="0"/>
                <w:sz w:val="21"/>
                <w:szCs w:val="21"/>
              </w:rPr>
              <w:t>本专业到境内：</w:t>
            </w:r>
            <w:r>
              <w:rPr>
                <w:rFonts w:hint="eastAsia" w:ascii="宋体" w:hAnsi="宋体"/>
                <w:color w:val="000000"/>
                <w:kern w:val="0"/>
                <w:sz w:val="21"/>
                <w:szCs w:val="21"/>
              </w:rPr>
              <w:t>指本专业校学生到境内其他高等学校进行一段时间的学习、交流活动的总人数。（一个学期及以上时间）</w:t>
              <w:tab/>
              <w:tab/>
            </w:r>
          </w:p>
          <w:p>
            <w:pPr>
              <w:adjustRightInd w:val="false"/>
              <w:snapToGrid w:val="false"/>
              <w:rPr>
                <w:rFonts w:hint="eastAsia" w:ascii="宋体" w:hAnsi="宋体"/>
                <w:color w:val="000000"/>
                <w:kern w:val="0"/>
                <w:sz w:val="21"/>
                <w:szCs w:val="21"/>
              </w:rPr>
            </w:pPr>
            <w:r>
              <w:rPr>
                <w:rFonts w:hint="eastAsia" w:ascii="宋体" w:hAnsi="宋体"/>
                <w:b/>
                <w:bCs/>
                <w:color w:val="000000"/>
                <w:kern w:val="0"/>
                <w:sz w:val="21"/>
                <w:szCs w:val="21"/>
              </w:rPr>
              <w:t>境外到本专业：</w:t>
            </w:r>
            <w:r>
              <w:rPr>
                <w:rFonts w:hint="eastAsia" w:ascii="宋体" w:hAnsi="宋体"/>
                <w:color w:val="000000"/>
                <w:kern w:val="0"/>
                <w:sz w:val="21"/>
                <w:szCs w:val="21"/>
              </w:rPr>
              <w:t>指境外（含港、澳、台地区）高等学校学生到本专业进行一段时间（4周以上）的学习、交流活动的总人数。</w:t>
              <w:tab/>
              <w:tab/>
            </w:r>
          </w:p>
          <w:p>
            <w:pPr>
              <w:adjustRightInd w:val="false"/>
              <w:snapToGrid w:val="false"/>
              <w:rPr>
                <w:rFonts w:ascii="宋体" w:hAnsi="宋体" w:eastAsia="宋体" w:cs="仿宋_GB2312"/>
                <w:kern w:val="2"/>
                <w:sz w:val="24"/>
                <w:szCs w:val="24"/>
                <w:lang w:val="en-US" w:eastAsia="zh-CN" w:bidi="ar-SA"/>
              </w:rPr>
            </w:pPr>
            <w:r>
              <w:rPr>
                <w:rFonts w:hint="eastAsia" w:ascii="宋体" w:hAnsi="宋体"/>
                <w:b/>
                <w:bCs/>
                <w:color w:val="000000"/>
                <w:kern w:val="0"/>
                <w:sz w:val="21"/>
                <w:szCs w:val="21"/>
              </w:rPr>
              <w:t>境内到本专业：</w:t>
            </w:r>
            <w:r>
              <w:rPr>
                <w:rFonts w:hint="eastAsia" w:ascii="宋体" w:hAnsi="宋体"/>
                <w:color w:val="000000"/>
                <w:kern w:val="0"/>
                <w:sz w:val="21"/>
                <w:szCs w:val="21"/>
              </w:rPr>
              <w:t>指境内其他高等学校学生到本专业进行一段时间的学习、交流活动的总人数。（一个学期及以上时间）</w:t>
              <w:tab/>
            </w:r>
            <w:r>
              <w:rPr>
                <w:rFonts w:hint="eastAsia" w:ascii="宋体" w:hAnsi="宋体" w:cs="仿宋_GB2312"/>
                <w:sz w:val="21"/>
                <w:szCs w:val="21"/>
              </w:rPr>
              <w:tab/>
            </w:r>
          </w:p>
        </w:tc>
      </w:tr>
      <w:tr>
        <w:trPr>
          <w:trHeight w:val="285" w:hRule="atLeast"/>
        </w:trPr>
        <w:tc>
          <w:tcPr>
            <w:tcW w:w="15474" w:type="dxa"/>
            <w:gridSpan w:val="4"/>
            <w:shd w:val="clear" w:color="auto" w:fill="auto"/>
            <w:vAlign w:val="center"/>
          </w:tcPr>
          <w:p>
            <w:pPr>
              <w:rPr>
                <w:rFonts w:ascii="宋体" w:hAnsi="宋体" w:cs="仿宋_GB2312"/>
                <w:b/>
                <w:sz w:val="24"/>
              </w:rPr>
            </w:pPr>
            <w:r>
              <w:rPr>
                <w:rFonts w:hint="eastAsia" w:ascii="宋体" w:hAnsi="宋体" w:cs="仿宋_GB2312"/>
                <w:b/>
                <w:sz w:val="24"/>
              </w:rPr>
              <w:t>7.教学管理与质量监控</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表7-1 教学质量评估统计表（学年）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运行科</w:t>
            </w:r>
          </w:p>
        </w:tc>
        <w:tc>
          <w:tcPr>
            <w:tcW w:w="7975" w:type="dxa"/>
            <w:shd w:val="clear" w:color="auto" w:fill="auto"/>
            <w:vAlign w:val="center"/>
          </w:tcPr>
          <w:p>
            <w:pPr>
              <w:rPr>
                <w:rFonts w:hint="eastAsia" w:ascii="宋体" w:hAnsi="宋体" w:eastAsia="宋体" w:cs="仿宋_GB2312"/>
                <w:sz w:val="24"/>
                <w:lang w:eastAsia="zh-CN"/>
              </w:rPr>
            </w:pPr>
            <w:r>
              <w:rPr>
                <w:rFonts w:hint="eastAsia" w:ascii="宋体" w:hAnsi="宋体" w:eastAsia="宋体" w:cs="仿宋_GB2312"/>
                <w:sz w:val="24"/>
                <w:lang w:eastAsia="zh-CN"/>
              </w:rPr>
              <w:drawing>
                <wp:inline distT="0" distB="0" distL="114300" distR="114300">
                  <wp:extent cx="4919980" cy="1211580"/>
                  <wp:effectExtent l="0" t="0" r="13970" b="7620"/>
                  <wp:docPr id="68" name="图片 1" descr="1698999548875"/>
                  <wp:cNvGraphicFramePr>
                    <a:graphicFrameLocks noChangeAspect="true"/>
                  </wp:cNvGraphicFramePr>
                  <a:graphic>
                    <a:graphicData uri="http://schemas.openxmlformats.org/drawingml/2006/picture">
                      <pic:pic>
                        <pic:nvPicPr>
                          <pic:cNvPr id="69" name="图片 1" descr="1698999548875"/>
                          <pic:cNvPicPr>
                            <a:picLocks noChangeAspect="true"/>
                          </pic:cNvPicPr>
                        </pic:nvPicPr>
                        <pic:blipFill>
                          <a:blip r:embed="rId25"/>
                          <a:stretch>
                            <a:fillRect/>
                          </a:stretch>
                        </pic:blipFill>
                        <pic:spPr>
                          <a:xfrm>
                            <a:off x="0" y="0"/>
                            <a:ext cx="4919980" cy="1211580"/>
                          </a:xfrm>
                          <a:prstGeom prst="rect">
                            <a:avLst/>
                          </a:prstGeom>
                        </pic:spPr>
                      </pic:pic>
                    </a:graphicData>
                  </a:graphic>
                </wp:inline>
              </w:drawing>
            </w:r>
          </w:p>
        </w:tc>
        <w:tc>
          <w:tcPr>
            <w:tcW w:w="4334" w:type="dxa"/>
            <w:shd w:val="clear" w:color="auto" w:fill="auto"/>
            <w:vAlign w:val="center"/>
          </w:tcPr>
          <w:p>
            <w:pPr>
              <w:adjustRightInd w:val="false"/>
              <w:snapToGrid w:val="false"/>
              <w:rPr>
                <w:rFonts w:hint="eastAsia" w:ascii="宋体" w:hAnsi="宋体"/>
                <w:color w:val="000000"/>
                <w:kern w:val="0"/>
                <w:sz w:val="21"/>
                <w:szCs w:val="21"/>
              </w:rPr>
            </w:pPr>
            <w:r>
              <w:rPr>
                <w:rFonts w:hint="eastAsia" w:ascii="宋体" w:hAnsi="宋体"/>
                <w:color w:val="000000"/>
                <w:kern w:val="0"/>
                <w:sz w:val="21"/>
                <w:szCs w:val="21"/>
              </w:rPr>
              <w:t>本科生参与评教人次数：指学年内参与本科教评工作的本科生人次数。专兼职督导员：指学校正式聘任的专兼职督导人员，含校级督导和院级督导。中层领导：指学校相关党政单位和教学科研单位副处级以上干部。</w:t>
              <w:tab/>
              <w:tab/>
            </w:r>
          </w:p>
          <w:p>
            <w:pPr>
              <w:adjustRightInd w:val="false"/>
              <w:snapToGrid w:val="false"/>
              <w:rPr>
                <w:rFonts w:ascii="宋体" w:hAnsi="宋体" w:cs="仿宋_GB2312"/>
                <w:sz w:val="24"/>
              </w:rPr>
            </w:pPr>
            <w:r>
              <w:rPr>
                <w:rFonts w:hint="eastAsia" w:ascii="宋体" w:hAnsi="宋体"/>
                <w:color w:val="FF0000"/>
                <w:kern w:val="0"/>
                <w:sz w:val="21"/>
                <w:szCs w:val="21"/>
              </w:rPr>
              <w:t>注：同一人有多种身份的，比如又是学院督导又是学院中层领导，统计在督导还是中层领导由学校自定，听课学时不重复统计。</w:t>
            </w:r>
            <w:r>
              <w:rPr>
                <w:rFonts w:hint="eastAsia" w:ascii="宋体" w:hAnsi="宋体"/>
                <w:color w:val="000000"/>
                <w:kern w:val="0"/>
                <w:sz w:val="21"/>
                <w:szCs w:val="21"/>
              </w:rPr>
              <w:tab/>
            </w:r>
          </w:p>
        </w:tc>
      </w:tr>
      <w:tr>
        <w:trPr>
          <w:trHeight w:val="285" w:hRule="atLeast"/>
        </w:trPr>
        <w:tc>
          <w:tcPr>
            <w:tcW w:w="15474" w:type="dxa"/>
            <w:gridSpan w:val="4"/>
            <w:shd w:val="clear" w:color="auto" w:fill="auto"/>
            <w:vAlign w:val="center"/>
          </w:tcPr>
          <w:p>
            <w:pPr>
              <w:rPr>
                <w:rFonts w:ascii="宋体" w:hAnsi="宋体" w:cs="仿宋_GB2312"/>
                <w:b/>
                <w:sz w:val="24"/>
              </w:rPr>
            </w:pPr>
            <w:r>
              <w:rPr>
                <w:rFonts w:hint="eastAsia" w:ascii="宋体" w:hAnsi="宋体" w:cs="仿宋_GB2312"/>
                <w:b/>
                <w:sz w:val="24"/>
              </w:rPr>
              <w:t>师范类专业情况补充表</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师范-1：教师主编基础教育课程教材情况（自然年）</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916170" cy="342265"/>
                  <wp:effectExtent l="0" t="0" r="17780" b="635"/>
                  <wp:docPr id="71" name="图片 65"/>
                  <wp:cNvGraphicFramePr>
                    <a:graphicFrameLocks noChangeAspect="true"/>
                  </wp:cNvGraphicFramePr>
                  <a:graphic>
                    <a:graphicData uri="http://schemas.openxmlformats.org/drawingml/2006/picture">
                      <pic:pic>
                        <pic:nvPicPr>
                          <pic:cNvPr id="72" name="图片 65"/>
                          <pic:cNvPicPr>
                            <a:picLocks noChangeAspect="true"/>
                          </pic:cNvPicPr>
                        </pic:nvPicPr>
                        <pic:blipFill>
                          <a:blip r:embed="rId26"/>
                          <a:stretch>
                            <a:fillRect/>
                          </a:stretch>
                        </pic:blipFill>
                        <pic:spPr>
                          <a:xfrm>
                            <a:off x="0" y="0"/>
                            <a:ext cx="4916170" cy="342882"/>
                          </a:xfrm>
                          <a:prstGeom prst="rect">
                            <a:avLst/>
                          </a:prstGeom>
                        </pic:spPr>
                      </pic:pic>
                    </a:graphicData>
                  </a:graphic>
                </wp:inline>
              </w:drawing>
            </w:r>
          </w:p>
        </w:tc>
        <w:tc>
          <w:tcPr>
            <w:tcW w:w="4334" w:type="dxa"/>
            <w:shd w:val="clear" w:color="auto" w:fill="auto"/>
            <w:vAlign w:val="center"/>
          </w:tcPr>
          <w:p>
            <w:pPr>
              <w:rPr>
                <w:color w:val="000000"/>
                <w:kern w:val="0"/>
                <w:szCs w:val="21"/>
              </w:rPr>
            </w:pPr>
            <w:r>
              <w:rPr>
                <w:rFonts w:hint="eastAsia"/>
                <w:color w:val="000000"/>
                <w:kern w:val="0"/>
                <w:szCs w:val="21"/>
              </w:rPr>
              <w:t>只统计</w:t>
            </w:r>
            <w:r>
              <w:rPr>
                <w:rFonts w:hint="eastAsia"/>
                <w:color w:val="FF0000"/>
                <w:kern w:val="0"/>
                <w:szCs w:val="21"/>
              </w:rPr>
              <w:t>本校教师主编</w:t>
            </w:r>
            <w:r>
              <w:rPr>
                <w:rFonts w:hint="eastAsia"/>
                <w:color w:val="000000"/>
                <w:kern w:val="0"/>
                <w:szCs w:val="21"/>
              </w:rPr>
              <w:t>并公开出版的基础教育课程教材。</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w:t>
            </w:r>
            <w:r>
              <w:rPr>
                <w:rFonts w:ascii="宋体" w:hAnsi="宋体" w:cs="仿宋_GB2312"/>
                <w:sz w:val="24"/>
              </w:rPr>
              <w:t>-2</w:t>
            </w:r>
            <w:r>
              <w:rPr>
                <w:rFonts w:hint="eastAsia" w:ascii="宋体" w:hAnsi="宋体" w:cs="仿宋_GB2312"/>
                <w:sz w:val="24"/>
              </w:rPr>
              <w:t>：</w:t>
            </w:r>
            <w:r>
              <w:rPr>
                <w:rFonts w:ascii="宋体" w:hAnsi="宋体" w:cs="仿宋_GB2312"/>
                <w:sz w:val="24"/>
              </w:rPr>
              <w:t>教师基础</w:t>
            </w:r>
            <w:r>
              <w:rPr>
                <w:rFonts w:hint="eastAsia" w:ascii="宋体" w:hAnsi="宋体" w:cs="仿宋_GB2312"/>
                <w:sz w:val="24"/>
              </w:rPr>
              <w:t>教育</w:t>
            </w:r>
            <w:r>
              <w:rPr>
                <w:rFonts w:ascii="宋体" w:hAnsi="宋体" w:cs="仿宋_GB2312"/>
                <w:sz w:val="24"/>
              </w:rPr>
              <w:t>服务经历（</w:t>
            </w:r>
            <w:r>
              <w:rPr>
                <w:rFonts w:hint="eastAsia" w:ascii="宋体" w:hAnsi="宋体" w:cs="仿宋_GB2312"/>
                <w:sz w:val="24"/>
              </w:rPr>
              <w:t>学年</w:t>
            </w:r>
            <w:r>
              <w:rPr>
                <w:rFonts w:ascii="宋体" w:hAnsi="宋体" w:cs="仿宋_GB2312"/>
                <w:sz w:val="24"/>
              </w:rPr>
              <w:t>）</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69180" cy="557530"/>
                  <wp:effectExtent l="0" t="0" r="7620" b="13970"/>
                  <wp:docPr id="74" name="图片 66"/>
                  <wp:cNvGraphicFramePr>
                    <a:graphicFrameLocks noChangeAspect="true"/>
                  </wp:cNvGraphicFramePr>
                  <a:graphic>
                    <a:graphicData uri="http://schemas.openxmlformats.org/drawingml/2006/picture">
                      <pic:pic>
                        <pic:nvPicPr>
                          <pic:cNvPr id="75" name="图片 66"/>
                          <pic:cNvPicPr>
                            <a:picLocks noChangeAspect="true"/>
                          </pic:cNvPicPr>
                        </pic:nvPicPr>
                        <pic:blipFill>
                          <a:blip r:embed="rId27"/>
                          <a:stretch>
                            <a:fillRect/>
                          </a:stretch>
                        </pic:blipFill>
                        <pic:spPr>
                          <a:xfrm>
                            <a:off x="0" y="0"/>
                            <a:ext cx="4869180" cy="557899"/>
                          </a:xfrm>
                          <a:prstGeom prst="rect">
                            <a:avLst/>
                          </a:prstGeom>
                        </pic:spPr>
                      </pic:pic>
                    </a:graphicData>
                  </a:graphic>
                </wp:inline>
              </w:drawing>
            </w:r>
          </w:p>
        </w:tc>
        <w:tc>
          <w:tcPr>
            <w:tcW w:w="4334" w:type="dxa"/>
            <w:shd w:val="clear" w:color="auto" w:fill="auto"/>
            <w:vAlign w:val="center"/>
          </w:tcPr>
          <w:p>
            <w:pPr>
              <w:rPr>
                <w:color w:val="000000"/>
                <w:kern w:val="0"/>
                <w:szCs w:val="21"/>
              </w:rPr>
            </w:pPr>
            <w:r>
              <w:rPr>
                <w:rFonts w:hint="eastAsia"/>
                <w:b/>
                <w:color w:val="000000"/>
                <w:kern w:val="0"/>
                <w:szCs w:val="21"/>
              </w:rPr>
              <w:t>基础教育服务经历：</w:t>
            </w:r>
            <w:r>
              <w:rPr>
                <w:rFonts w:hint="eastAsia"/>
                <w:color w:val="000000"/>
                <w:kern w:val="0"/>
                <w:szCs w:val="21"/>
              </w:rPr>
              <w:t>指在中学/小学/幼儿园/中等职业学校/特殊教育学校等机构从事教学、管理、研究等工作经历。</w:t>
            </w:r>
          </w:p>
          <w:p>
            <w:pPr>
              <w:rPr>
                <w:color w:val="000000"/>
                <w:kern w:val="0"/>
                <w:szCs w:val="21"/>
              </w:rPr>
            </w:pPr>
            <w:r>
              <w:rPr>
                <w:rFonts w:hint="eastAsia"/>
                <w:b/>
                <w:color w:val="000000"/>
                <w:kern w:val="0"/>
                <w:szCs w:val="21"/>
              </w:rPr>
              <w:t>服务类别：</w:t>
            </w:r>
            <w:r>
              <w:rPr>
                <w:rFonts w:hint="eastAsia"/>
                <w:color w:val="000000"/>
                <w:kern w:val="0"/>
                <w:szCs w:val="21"/>
              </w:rPr>
              <w:t>中学、小学、幼儿园、教师培训项目（指“国培计划”项目、“省培计划”项目以及其它政府计划内的教师培训项目）、中等职业学</w:t>
            </w:r>
          </w:p>
          <w:p>
            <w:pPr>
              <w:rPr>
                <w:color w:val="000000"/>
                <w:kern w:val="0"/>
                <w:szCs w:val="21"/>
              </w:rPr>
            </w:pPr>
            <w:r>
              <w:rPr>
                <w:rFonts w:hint="eastAsia"/>
                <w:color w:val="000000"/>
                <w:kern w:val="0"/>
                <w:szCs w:val="21"/>
              </w:rPr>
              <w:t>校、特殊教育学校等机构。</w:t>
            </w:r>
          </w:p>
          <w:p>
            <w:pPr>
              <w:rPr>
                <w:rFonts w:hint="eastAsia"/>
                <w:color w:val="000000"/>
                <w:kern w:val="0"/>
                <w:szCs w:val="21"/>
              </w:rPr>
            </w:pPr>
            <w:r>
              <w:rPr>
                <w:rFonts w:hint="eastAsia"/>
                <w:b/>
                <w:color w:val="000000"/>
                <w:kern w:val="0"/>
                <w:szCs w:val="21"/>
              </w:rPr>
              <w:t>服务天数：</w:t>
            </w:r>
            <w:r>
              <w:rPr>
                <w:rFonts w:hint="eastAsia"/>
                <w:color w:val="000000"/>
                <w:kern w:val="0"/>
                <w:szCs w:val="21"/>
              </w:rPr>
              <w:t>分别填</w:t>
            </w:r>
            <w:r>
              <w:rPr>
                <w:rFonts w:hint="eastAsia"/>
                <w:color w:val="FF0000"/>
                <w:kern w:val="0"/>
                <w:szCs w:val="21"/>
              </w:rPr>
              <w:t>近五个学年内</w:t>
            </w:r>
            <w:r>
              <w:rPr>
                <w:rFonts w:hint="eastAsia"/>
                <w:color w:val="000000"/>
                <w:kern w:val="0"/>
                <w:szCs w:val="21"/>
              </w:rPr>
              <w:t>的服务总时长、从事教师教育课程教学至今的服务总时长，按天数计算。</w:t>
            </w:r>
          </w:p>
          <w:p>
            <w:pPr>
              <w:rPr>
                <w:color w:val="000000"/>
                <w:kern w:val="0"/>
                <w:szCs w:val="21"/>
              </w:rPr>
            </w:pPr>
            <w:r>
              <w:rPr>
                <w:rFonts w:hint="eastAsia"/>
                <w:b w:val="false"/>
                <w:bCs w:val="false"/>
                <w:color w:val="FF0000"/>
                <w:kern w:val="0"/>
                <w:szCs w:val="21"/>
                <w:lang w:val="en-US" w:eastAsia="zh-CN"/>
              </w:rPr>
              <w:t>要求符合“近五年有一年在中学服务”的认证标准</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师范-3：师范类专业办学基本条件（自然年、时点）</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87595" cy="934720"/>
                  <wp:effectExtent l="0" t="0" r="8255" b="17780"/>
                  <wp:docPr id="77" name="图片 67"/>
                  <wp:cNvGraphicFramePr>
                    <a:graphicFrameLocks noChangeAspect="true"/>
                  </wp:cNvGraphicFramePr>
                  <a:graphic>
                    <a:graphicData uri="http://schemas.openxmlformats.org/drawingml/2006/picture">
                      <pic:pic>
                        <pic:nvPicPr>
                          <pic:cNvPr id="78" name="图片 67"/>
                          <pic:cNvPicPr>
                            <a:picLocks noChangeAspect="true"/>
                          </pic:cNvPicPr>
                        </pic:nvPicPr>
                        <pic:blipFill>
                          <a:blip r:embed="rId28"/>
                          <a:stretch>
                            <a:fillRect/>
                          </a:stretch>
                        </pic:blipFill>
                        <pic:spPr>
                          <a:xfrm>
                            <a:off x="0" y="0"/>
                            <a:ext cx="4887595" cy="935297"/>
                          </a:xfrm>
                          <a:prstGeom prst="rect">
                            <a:avLst/>
                          </a:prstGeom>
                        </pic:spPr>
                      </pic:pic>
                    </a:graphicData>
                  </a:graphic>
                </wp:inline>
              </w:drawing>
            </w:r>
          </w:p>
        </w:tc>
        <w:tc>
          <w:tcPr>
            <w:tcW w:w="4334" w:type="dxa"/>
            <w:shd w:val="clear" w:color="auto" w:fill="auto"/>
            <w:vAlign w:val="center"/>
          </w:tcPr>
          <w:p>
            <w:pPr>
              <w:rPr>
                <w:color w:val="000000"/>
                <w:kern w:val="0"/>
                <w:szCs w:val="21"/>
              </w:rPr>
            </w:pP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w:t>
            </w:r>
            <w:r>
              <w:rPr>
                <w:rFonts w:ascii="宋体" w:hAnsi="宋体" w:cs="仿宋_GB2312"/>
                <w:sz w:val="24"/>
              </w:rPr>
              <w:t>-4</w:t>
            </w:r>
            <w:r>
              <w:rPr>
                <w:rFonts w:hint="eastAsia" w:ascii="宋体" w:hAnsi="宋体" w:cs="仿宋_GB2312"/>
                <w:sz w:val="24"/>
              </w:rPr>
              <w:t>：</w:t>
            </w:r>
            <w:r>
              <w:rPr>
                <w:rFonts w:ascii="宋体" w:hAnsi="宋体" w:cs="仿宋_GB2312"/>
                <w:sz w:val="24"/>
              </w:rPr>
              <w:t>师范类专业教学设施（</w:t>
            </w:r>
            <w:r>
              <w:rPr>
                <w:rFonts w:hint="eastAsia" w:ascii="宋体" w:hAnsi="宋体" w:cs="仿宋_GB2312"/>
                <w:sz w:val="24"/>
              </w:rPr>
              <w:t>时点</w:t>
            </w:r>
            <w:r>
              <w:rPr>
                <w:rFonts w:ascii="宋体" w:hAnsi="宋体" w:cs="仿宋_GB2312"/>
                <w:sz w:val="24"/>
              </w:rPr>
              <w:t>）</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20920" cy="401320"/>
                  <wp:effectExtent l="0" t="0" r="17780" b="17780"/>
                  <wp:docPr id="80" name="图片 68"/>
                  <wp:cNvGraphicFramePr>
                    <a:graphicFrameLocks noChangeAspect="true"/>
                  </wp:cNvGraphicFramePr>
                  <a:graphic>
                    <a:graphicData uri="http://schemas.openxmlformats.org/drawingml/2006/picture">
                      <pic:pic>
                        <pic:nvPicPr>
                          <pic:cNvPr id="81" name="图片 68"/>
                          <pic:cNvPicPr>
                            <a:picLocks noChangeAspect="true"/>
                          </pic:cNvPicPr>
                        </pic:nvPicPr>
                        <pic:blipFill>
                          <a:blip r:embed="rId29"/>
                          <a:stretch>
                            <a:fillRect/>
                          </a:stretch>
                        </pic:blipFill>
                        <pic:spPr>
                          <a:xfrm>
                            <a:off x="0" y="0"/>
                            <a:ext cx="4820920" cy="401383"/>
                          </a:xfrm>
                          <a:prstGeom prst="rect">
                            <a:avLst/>
                          </a:prstGeom>
                        </pic:spPr>
                      </pic:pic>
                    </a:graphicData>
                  </a:graphic>
                </wp:inline>
              </w:drawing>
            </w:r>
          </w:p>
        </w:tc>
        <w:tc>
          <w:tcPr>
            <w:tcW w:w="4334" w:type="dxa"/>
            <w:shd w:val="clear" w:color="auto" w:fill="auto"/>
            <w:vAlign w:val="center"/>
          </w:tcPr>
          <w:p>
            <w:pPr>
              <w:autoSpaceDE w:val="false"/>
              <w:autoSpaceDN w:val="false"/>
              <w:adjustRightInd w:val="false"/>
              <w:jc w:val="left"/>
              <w:rPr>
                <w:rFonts w:ascii="宋体" w:cs="宋体" w:hAnsiTheme="minorHAnsi"/>
                <w:b/>
                <w:kern w:val="0"/>
                <w:szCs w:val="21"/>
              </w:rPr>
            </w:pPr>
            <w:r>
              <w:rPr>
                <w:rFonts w:hint="eastAsia" w:ascii="宋体" w:cs="宋体" w:hAnsiTheme="minorHAnsi"/>
                <w:b/>
                <w:kern w:val="0"/>
                <w:szCs w:val="21"/>
              </w:rPr>
              <w:t>设施类别：</w:t>
            </w:r>
          </w:p>
          <w:p>
            <w:pPr>
              <w:autoSpaceDE w:val="false"/>
              <w:autoSpaceDN w:val="false"/>
              <w:adjustRightInd w:val="false"/>
              <w:jc w:val="left"/>
              <w:rPr>
                <w:rFonts w:ascii="宋体" w:cs="宋体" w:hAnsiTheme="minorHAnsi"/>
                <w:kern w:val="0"/>
                <w:szCs w:val="21"/>
              </w:rPr>
            </w:pPr>
            <w:r>
              <w:rPr>
                <w:rFonts w:hint="eastAsia" w:ascii="宋体" w:cs="宋体" w:hAnsiTheme="minorHAnsi"/>
                <w:kern w:val="0"/>
                <w:szCs w:val="21"/>
              </w:rPr>
              <w:t>中学教育选择微格教学、语言技能、书写技能、学科实验教学；</w:t>
            </w:r>
          </w:p>
          <w:p>
            <w:pPr>
              <w:autoSpaceDE w:val="false"/>
              <w:autoSpaceDN w:val="false"/>
              <w:adjustRightInd w:val="false"/>
              <w:jc w:val="left"/>
              <w:rPr>
                <w:rFonts w:ascii="宋体" w:cs="宋体" w:hAnsiTheme="minorHAnsi"/>
                <w:kern w:val="0"/>
                <w:szCs w:val="21"/>
              </w:rPr>
            </w:pPr>
            <w:r>
              <w:rPr>
                <w:rFonts w:hint="eastAsia" w:ascii="宋体" w:cs="宋体" w:hAnsiTheme="minorHAnsi"/>
                <w:kern w:val="0"/>
                <w:szCs w:val="21"/>
              </w:rPr>
              <w:t>小学教育选择微格教学、语言技能、书写技能、实验教学、艺术教育；</w:t>
            </w:r>
          </w:p>
          <w:p>
            <w:pPr>
              <w:autoSpaceDE w:val="false"/>
              <w:autoSpaceDN w:val="false"/>
              <w:adjustRightInd w:val="false"/>
              <w:jc w:val="left"/>
              <w:rPr>
                <w:rFonts w:hint="eastAsia" w:ascii="宋体" w:cs="宋体" w:hAnsiTheme="minorHAnsi"/>
                <w:kern w:val="0"/>
                <w:szCs w:val="21"/>
              </w:rPr>
            </w:pPr>
            <w:r>
              <w:rPr>
                <w:rFonts w:hint="eastAsia" w:ascii="宋体" w:cs="宋体" w:hAnsiTheme="minorHAnsi"/>
                <w:kern w:val="0"/>
                <w:szCs w:val="21"/>
              </w:rPr>
              <w:t>学前教育选择保育实践、实验教学、教学技能训练、艺术技能训练（舞蹈、美术、钢琴等）</w:t>
            </w:r>
          </w:p>
          <w:p>
            <w:pPr>
              <w:autoSpaceDE w:val="false"/>
              <w:autoSpaceDN w:val="false"/>
              <w:adjustRightInd w:val="false"/>
              <w:jc w:val="left"/>
              <w:rPr>
                <w:color w:val="000000"/>
                <w:kern w:val="0"/>
                <w:szCs w:val="21"/>
              </w:rPr>
            </w:pPr>
            <w:r>
              <w:rPr>
                <w:rFonts w:hint="eastAsia" w:ascii="宋体" w:cs="宋体" w:hAnsiTheme="minorHAnsi"/>
                <w:color w:val="FF0000"/>
                <w:kern w:val="0"/>
                <w:szCs w:val="21"/>
              </w:rPr>
              <w:t>每个专业要把学校公用的场地都填上</w:t>
            </w:r>
            <w:r>
              <w:rPr>
                <w:rFonts w:hint="eastAsia" w:ascii="宋体" w:cs="宋体" w:hAnsiTheme="minorHAnsi"/>
                <w:color w:val="FF0000"/>
                <w:kern w:val="0"/>
                <w:szCs w:val="21"/>
                <w:lang w:eastAsia="zh-CN"/>
              </w:rPr>
              <w:t>。</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师范-5：师范类专业培养情况（时点、学年）</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30445" cy="1250950"/>
                  <wp:effectExtent l="0" t="0" r="8255" b="6350"/>
                  <wp:docPr id="83" name="图片 69"/>
                  <wp:cNvGraphicFramePr>
                    <a:graphicFrameLocks noChangeAspect="true"/>
                  </wp:cNvGraphicFramePr>
                  <a:graphic>
                    <a:graphicData uri="http://schemas.openxmlformats.org/drawingml/2006/picture">
                      <pic:pic>
                        <pic:nvPicPr>
                          <pic:cNvPr id="84" name="图片 69"/>
                          <pic:cNvPicPr>
                            <a:picLocks noChangeAspect="true"/>
                          </pic:cNvPicPr>
                        </pic:nvPicPr>
                        <pic:blipFill>
                          <a:blip r:embed="rId30"/>
                          <a:stretch>
                            <a:fillRect/>
                          </a:stretch>
                        </pic:blipFill>
                        <pic:spPr>
                          <a:xfrm>
                            <a:off x="0" y="0"/>
                            <a:ext cx="4830445" cy="1251257"/>
                          </a:xfrm>
                          <a:prstGeom prst="rect">
                            <a:avLst/>
                          </a:prstGeom>
                        </pic:spPr>
                      </pic:pic>
                    </a:graphicData>
                  </a:graphic>
                </wp:inline>
              </w:drawing>
            </w:r>
          </w:p>
        </w:tc>
        <w:tc>
          <w:tcPr>
            <w:tcW w:w="4334" w:type="dxa"/>
            <w:shd w:val="clear" w:color="auto" w:fill="auto"/>
            <w:vAlign w:val="center"/>
          </w:tcPr>
          <w:p>
            <w:pPr>
              <w:rPr>
                <w:b w:val="false"/>
                <w:bCs/>
                <w:color w:val="000000"/>
                <w:kern w:val="0"/>
                <w:szCs w:val="21"/>
              </w:rPr>
            </w:pPr>
            <w:r>
              <w:rPr>
                <w:rFonts w:hint="eastAsia"/>
                <w:b w:val="false"/>
                <w:bCs/>
                <w:color w:val="000000"/>
                <w:kern w:val="0"/>
                <w:szCs w:val="21"/>
              </w:rPr>
              <w:t>课程学分和教育实践时间（周）按时点填报专业最新培养方案数据，教师教育课程学分含教育实践学分；参加教育实践师范生数按学年填报。</w:t>
            </w:r>
          </w:p>
          <w:p>
            <w:pPr>
              <w:rPr>
                <w:rFonts w:ascii="宋体" w:hAnsi="宋体"/>
                <w:color w:val="FF0000"/>
              </w:rPr>
            </w:pPr>
            <w:r>
              <w:rPr>
                <w:rFonts w:ascii="宋体" w:hAnsi="宋体"/>
                <w:color w:val="FF0000"/>
              </w:rPr>
              <w:t>教师教育课程学分必修课≥10学分</w:t>
            </w:r>
            <w:r>
              <w:rPr>
                <w:rFonts w:hint="eastAsia" w:ascii="宋体" w:hAnsi="宋体"/>
                <w:color w:val="FF0000"/>
              </w:rPr>
              <w:t>、</w:t>
            </w:r>
            <w:r>
              <w:rPr>
                <w:rFonts w:ascii="宋体" w:hAnsi="宋体"/>
                <w:color w:val="FF0000"/>
              </w:rPr>
              <w:t>总学分≥14学分</w:t>
            </w:r>
          </w:p>
          <w:p>
            <w:pPr>
              <w:rPr>
                <w:rFonts w:ascii="宋体" w:hAnsi="宋体"/>
                <w:color w:val="FF0000"/>
              </w:rPr>
            </w:pPr>
            <w:r>
              <w:rPr>
                <w:rFonts w:hint="eastAsia" w:ascii="宋体" w:hAnsi="宋体"/>
                <w:color w:val="FF0000"/>
              </w:rPr>
              <w:t>人文社会与科学素养课程学分占总学分比例≥10%</w:t>
            </w:r>
          </w:p>
          <w:p>
            <w:pPr>
              <w:rPr>
                <w:rFonts w:ascii="宋体" w:hAnsi="宋体"/>
                <w:color w:val="FF0000"/>
              </w:rPr>
            </w:pPr>
            <w:r>
              <w:rPr>
                <w:rFonts w:hint="eastAsia" w:ascii="宋体" w:hAnsi="宋体"/>
                <w:color w:val="FF0000"/>
              </w:rPr>
              <w:t>学科专业课程学分占总学分比例≥50%</w:t>
            </w:r>
          </w:p>
          <w:p>
            <w:pPr>
              <w:rPr>
                <w:rFonts w:ascii="宋体" w:hAnsi="宋体"/>
                <w:color w:val="FF0000"/>
              </w:rPr>
            </w:pPr>
            <w:r>
              <w:rPr>
                <w:rFonts w:hint="eastAsia" w:ascii="宋体" w:hAnsi="宋体"/>
                <w:color w:val="FF0000"/>
              </w:rPr>
              <w:t>教育实践时间≥18周</w:t>
            </w:r>
          </w:p>
          <w:p>
            <w:pPr>
              <w:rPr>
                <w:b/>
                <w:color w:val="000000"/>
                <w:kern w:val="0"/>
                <w:szCs w:val="21"/>
              </w:rPr>
            </w:pPr>
            <w:r>
              <w:rPr>
                <w:rFonts w:hint="eastAsia" w:ascii="宋体" w:hAnsi="宋体"/>
                <w:color w:val="FF0000"/>
              </w:rPr>
              <w:t>实习生数与教育实践基地数比例≤20:1</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师范-6：教师教育课程情况表（学年）</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5039995" cy="1149350"/>
                  <wp:effectExtent l="0" t="0" r="8255" b="12700"/>
                  <wp:docPr id="86" name="图片 70"/>
                  <wp:cNvGraphicFramePr>
                    <a:graphicFrameLocks noChangeAspect="true"/>
                  </wp:cNvGraphicFramePr>
                  <a:graphic>
                    <a:graphicData uri="http://schemas.openxmlformats.org/drawingml/2006/picture">
                      <pic:pic>
                        <pic:nvPicPr>
                          <pic:cNvPr id="87" name="图片 70"/>
                          <pic:cNvPicPr>
                            <a:picLocks noChangeAspect="true"/>
                          </pic:cNvPicPr>
                        </pic:nvPicPr>
                        <pic:blipFill>
                          <a:blip r:embed="rId31"/>
                          <a:stretch>
                            <a:fillRect/>
                          </a:stretch>
                        </pic:blipFill>
                        <pic:spPr>
                          <a:xfrm>
                            <a:off x="0" y="0"/>
                            <a:ext cx="5040000" cy="1149542"/>
                          </a:xfrm>
                          <a:prstGeom prst="rect">
                            <a:avLst/>
                          </a:prstGeom>
                        </pic:spPr>
                      </pic:pic>
                    </a:graphicData>
                  </a:graphic>
                </wp:inline>
              </w:drawing>
            </w:r>
          </w:p>
        </w:tc>
        <w:tc>
          <w:tcPr>
            <w:tcW w:w="4334" w:type="dxa"/>
            <w:shd w:val="clear" w:color="auto" w:fill="auto"/>
            <w:vAlign w:val="center"/>
          </w:tcPr>
          <w:p>
            <w:pPr>
              <w:rPr>
                <w:color w:val="000000"/>
                <w:kern w:val="0"/>
                <w:szCs w:val="21"/>
              </w:rPr>
            </w:pPr>
            <w:r>
              <w:rPr>
                <w:rFonts w:hint="eastAsia"/>
                <w:b/>
                <w:color w:val="000000"/>
                <w:kern w:val="0"/>
                <w:szCs w:val="21"/>
              </w:rPr>
              <w:t>课程性质：</w:t>
            </w:r>
            <w:r>
              <w:rPr>
                <w:rFonts w:hint="eastAsia"/>
                <w:color w:val="000000"/>
                <w:kern w:val="0"/>
                <w:szCs w:val="21"/>
              </w:rPr>
              <w:t>指</w:t>
            </w:r>
            <w:r>
              <w:rPr>
                <w:rFonts w:hint="eastAsia"/>
                <w:b/>
                <w:color w:val="000000"/>
                <w:kern w:val="0"/>
                <w:szCs w:val="21"/>
              </w:rPr>
              <w:t>专业课程。</w:t>
            </w:r>
            <w:r>
              <w:rPr>
                <w:rFonts w:hint="eastAsia"/>
                <w:color w:val="000000"/>
                <w:kern w:val="0"/>
                <w:szCs w:val="21"/>
              </w:rPr>
              <w:t>中学教育专业、小学教育专业、学前教育专业、职业技术师范教育专业选填学科课程与教学论课程、师范技能类课程、</w:t>
            </w:r>
          </w:p>
          <w:p>
            <w:pPr>
              <w:rPr>
                <w:color w:val="000000"/>
                <w:kern w:val="0"/>
                <w:szCs w:val="21"/>
              </w:rPr>
            </w:pPr>
            <w:r>
              <w:rPr>
                <w:rFonts w:hint="eastAsia"/>
                <w:color w:val="000000"/>
                <w:kern w:val="0"/>
                <w:szCs w:val="21"/>
              </w:rPr>
              <w:t>师德教育类课程、信息素养类课程、教育实践课程、其他课程。其中，</w:t>
            </w:r>
            <w:r>
              <w:rPr>
                <w:rFonts w:hint="eastAsia"/>
                <w:b/>
                <w:color w:val="000000"/>
                <w:kern w:val="0"/>
                <w:szCs w:val="21"/>
              </w:rPr>
              <w:t>学科课程与教学论课程</w:t>
            </w:r>
            <w:r>
              <w:rPr>
                <w:rFonts w:hint="eastAsia"/>
                <w:color w:val="000000"/>
                <w:kern w:val="0"/>
                <w:szCs w:val="21"/>
              </w:rPr>
              <w:t>指学科课程标准与教材研究、课程设计与评价、学</w:t>
            </w:r>
          </w:p>
          <w:p>
            <w:pPr>
              <w:rPr>
                <w:color w:val="000000"/>
                <w:kern w:val="0"/>
                <w:szCs w:val="21"/>
              </w:rPr>
            </w:pPr>
            <w:r>
              <w:rPr>
                <w:rFonts w:hint="eastAsia"/>
                <w:color w:val="000000"/>
                <w:kern w:val="0"/>
                <w:szCs w:val="21"/>
              </w:rPr>
              <w:t>科教学设计等课程，不包括学科专业课程；</w:t>
            </w:r>
            <w:r>
              <w:rPr>
                <w:rFonts w:hint="eastAsia"/>
                <w:b/>
                <w:color w:val="000000"/>
                <w:kern w:val="0"/>
                <w:szCs w:val="21"/>
              </w:rPr>
              <w:t>师范技能类课程</w:t>
            </w:r>
            <w:r>
              <w:rPr>
                <w:rFonts w:hint="eastAsia"/>
                <w:color w:val="000000"/>
                <w:kern w:val="0"/>
                <w:szCs w:val="21"/>
              </w:rPr>
              <w:t>指培养师范生师范技能（包括讲课说课技能、“三字一话”从教基本功、现代教育技</w:t>
            </w:r>
          </w:p>
          <w:p>
            <w:pPr>
              <w:rPr>
                <w:color w:val="000000"/>
                <w:kern w:val="0"/>
                <w:szCs w:val="21"/>
              </w:rPr>
            </w:pPr>
            <w:r>
              <w:rPr>
                <w:rFonts w:hint="eastAsia"/>
                <w:color w:val="000000"/>
                <w:kern w:val="0"/>
                <w:szCs w:val="21"/>
              </w:rPr>
              <w:t>术应用技能、班级指导能力等）的教师教育课程。</w:t>
            </w:r>
            <w:r>
              <w:rPr>
                <w:rFonts w:hint="eastAsia"/>
                <w:b/>
                <w:color w:val="000000"/>
                <w:kern w:val="0"/>
                <w:szCs w:val="21"/>
              </w:rPr>
              <w:t>师德教育类课程</w:t>
            </w:r>
            <w:r>
              <w:rPr>
                <w:rFonts w:hint="eastAsia"/>
                <w:color w:val="000000"/>
                <w:kern w:val="0"/>
                <w:szCs w:val="21"/>
              </w:rPr>
              <w:t>指教师职业道德教育课程、心理健康与道德教育课程、师德体验教育实践课程；</w:t>
            </w:r>
          </w:p>
          <w:p>
            <w:pPr>
              <w:rPr>
                <w:color w:val="000000"/>
                <w:kern w:val="0"/>
                <w:szCs w:val="21"/>
              </w:rPr>
            </w:pPr>
            <w:r>
              <w:rPr>
                <w:rFonts w:hint="eastAsia"/>
                <w:b/>
                <w:color w:val="000000"/>
                <w:kern w:val="0"/>
                <w:szCs w:val="21"/>
              </w:rPr>
              <w:t>信息素养类课程</w:t>
            </w:r>
            <w:r>
              <w:rPr>
                <w:rFonts w:hint="eastAsia"/>
                <w:color w:val="000000"/>
                <w:kern w:val="0"/>
                <w:szCs w:val="21"/>
              </w:rPr>
              <w:t>仅指现代教育技术应用课程（含理论课与实践课）。</w:t>
            </w:r>
          </w:p>
          <w:p>
            <w:pPr>
              <w:rPr>
                <w:color w:val="000000"/>
                <w:kern w:val="0"/>
                <w:szCs w:val="21"/>
              </w:rPr>
            </w:pPr>
            <w:r>
              <w:rPr>
                <w:rFonts w:hint="eastAsia"/>
                <w:b/>
                <w:color w:val="000000"/>
                <w:kern w:val="0"/>
                <w:szCs w:val="21"/>
              </w:rPr>
              <w:t>授课教师：</w:t>
            </w:r>
            <w:r>
              <w:rPr>
                <w:rFonts w:hint="eastAsia"/>
                <w:color w:val="000000"/>
                <w:kern w:val="0"/>
                <w:szCs w:val="21"/>
              </w:rPr>
              <w:t>担任课程讲授任务的授课教师。同一门次课程有多位授课教师的可多填，不同教师间用</w:t>
            </w:r>
            <w:r>
              <w:rPr>
                <w:rFonts w:hint="eastAsia"/>
                <w:color w:val="FF0000"/>
                <w:kern w:val="0"/>
                <w:szCs w:val="21"/>
              </w:rPr>
              <w:t>英文分号隔开</w:t>
            </w:r>
            <w:r>
              <w:rPr>
                <w:rFonts w:hint="eastAsia"/>
                <w:color w:val="000000"/>
                <w:kern w:val="0"/>
                <w:szCs w:val="21"/>
              </w:rPr>
              <w:t>。</w:t>
            </w:r>
          </w:p>
          <w:p>
            <w:pPr>
              <w:rPr>
                <w:color w:val="000000"/>
                <w:kern w:val="0"/>
                <w:szCs w:val="21"/>
              </w:rPr>
            </w:pPr>
            <w:r>
              <w:rPr>
                <w:rFonts w:hint="eastAsia"/>
                <w:b/>
                <w:color w:val="000000"/>
                <w:kern w:val="0"/>
                <w:szCs w:val="21"/>
              </w:rPr>
              <w:t>年级：</w:t>
            </w:r>
            <w:r>
              <w:rPr>
                <w:rFonts w:hint="eastAsia"/>
                <w:color w:val="000000"/>
                <w:kern w:val="0"/>
                <w:szCs w:val="21"/>
              </w:rPr>
              <w:t>填写代表年份的阿拉伯数字，例如“</w:t>
            </w:r>
            <w:r>
              <w:rPr>
                <w:color w:val="000000"/>
                <w:kern w:val="0"/>
                <w:szCs w:val="21"/>
              </w:rPr>
              <w:t>2016</w:t>
            </w:r>
            <w:r>
              <w:rPr>
                <w:rFonts w:hint="eastAsia"/>
                <w:color w:val="000000"/>
                <w:kern w:val="0"/>
                <w:szCs w:val="21"/>
              </w:rPr>
              <w:t>”，如多年级共同上课，则用英文分号隔开。</w:t>
            </w:r>
          </w:p>
          <w:p>
            <w:pPr>
              <w:rPr>
                <w:rFonts w:ascii="宋体" w:hAnsi="宋体"/>
                <w:color w:val="FF0000"/>
              </w:rPr>
            </w:pPr>
            <w:r>
              <w:rPr>
                <w:rFonts w:hint="eastAsia" w:ascii="宋体" w:hAnsi="宋体"/>
                <w:color w:val="FF0000"/>
              </w:rPr>
              <w:t>学科课程与教学论教师人数</w:t>
            </w:r>
            <w:r>
              <w:rPr>
                <w:rFonts w:ascii="宋体" w:hAnsi="宋体"/>
                <w:color w:val="FF0000"/>
              </w:rPr>
              <w:t>≥1</w:t>
            </w:r>
          </w:p>
          <w:p>
            <w:pPr>
              <w:rPr>
                <w:rFonts w:hint="eastAsia" w:ascii="宋体" w:hAnsi="宋体"/>
                <w:color w:val="FF0000"/>
              </w:rPr>
            </w:pPr>
            <w:r>
              <w:rPr>
                <w:rFonts w:hint="eastAsia" w:ascii="宋体" w:hAnsi="宋体"/>
                <w:color w:val="FF0000"/>
              </w:rPr>
              <w:t>中学兼职教师占教师教育课程教师比例≥20%</w:t>
            </w:r>
          </w:p>
          <w:p>
            <w:pPr>
              <w:rPr>
                <w:rFonts w:hint="eastAsia" w:ascii="宋体" w:hAnsi="宋体"/>
                <w:color w:val="FF0000"/>
                <w:lang w:val="en-US" w:eastAsia="zh-CN"/>
              </w:rPr>
            </w:pPr>
            <w:r>
              <w:rPr>
                <w:rFonts w:hint="eastAsia" w:ascii="宋体" w:hAnsi="宋体"/>
                <w:color w:val="FF0000"/>
                <w:lang w:val="en-US" w:eastAsia="zh-CN"/>
              </w:rPr>
              <w:t>注：</w:t>
            </w:r>
          </w:p>
          <w:p>
            <w:pPr>
              <w:rPr>
                <w:rFonts w:hint="eastAsia" w:ascii="宋体" w:hAnsi="宋体"/>
                <w:color w:val="FF0000"/>
                <w:lang w:val="en-US" w:eastAsia="zh-CN"/>
              </w:rPr>
            </w:pPr>
            <w:r>
              <w:rPr>
                <w:rFonts w:hint="eastAsia" w:ascii="宋体" w:hAnsi="宋体"/>
                <w:color w:val="FF0000"/>
                <w:lang w:val="en-US" w:eastAsia="zh-CN"/>
              </w:rPr>
              <w:t>1.1-5-3外聘表中要有类别为“基础教育学校”的中学兼职老师，并且要体现在师范6的表格中，才能在“中学兼职教师数/专任数&gt;20%”统计中进入统计视野。</w:t>
            </w:r>
          </w:p>
          <w:p>
            <w:pPr>
              <w:rPr>
                <w:color w:val="000000"/>
                <w:kern w:val="0"/>
                <w:szCs w:val="21"/>
              </w:rPr>
            </w:pPr>
            <w:r>
              <w:rPr>
                <w:rFonts w:hint="eastAsia" w:ascii="宋体" w:hAnsi="宋体"/>
                <w:color w:val="FF0000"/>
                <w:lang w:val="en-US" w:eastAsia="zh-CN"/>
              </w:rPr>
              <w:t>2.课程性质不能填“教师教育基础课程”，且每个专业必须要有“学科课程与教学论课程”，教育实习应纳入该表</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w:t>
            </w:r>
            <w:r>
              <w:rPr>
                <w:rFonts w:ascii="宋体" w:hAnsi="宋体" w:cs="仿宋_GB2312"/>
                <w:sz w:val="24"/>
              </w:rPr>
              <w:t>-7</w:t>
            </w:r>
            <w:r>
              <w:rPr>
                <w:rFonts w:hint="eastAsia" w:ascii="宋体" w:hAnsi="宋体" w:cs="仿宋_GB2312"/>
                <w:sz w:val="24"/>
              </w:rPr>
              <w:t>：</w:t>
            </w:r>
            <w:r>
              <w:rPr>
                <w:rFonts w:ascii="宋体" w:hAnsi="宋体" w:cs="仿宋_GB2312"/>
                <w:sz w:val="24"/>
              </w:rPr>
              <w:t>师范技能</w:t>
            </w:r>
            <w:r>
              <w:rPr>
                <w:rFonts w:hint="eastAsia" w:ascii="宋体" w:hAnsi="宋体" w:cs="仿宋_GB2312"/>
                <w:sz w:val="24"/>
              </w:rPr>
              <w:t>类</w:t>
            </w:r>
            <w:r>
              <w:rPr>
                <w:rFonts w:ascii="宋体" w:hAnsi="宋体" w:cs="仿宋_GB2312"/>
                <w:sz w:val="24"/>
              </w:rPr>
              <w:t>课程（</w:t>
            </w:r>
            <w:r>
              <w:rPr>
                <w:rFonts w:hint="eastAsia" w:ascii="宋体" w:hAnsi="宋体" w:cs="仿宋_GB2312"/>
                <w:sz w:val="24"/>
              </w:rPr>
              <w:t>学年</w:t>
            </w:r>
            <w:r>
              <w:rPr>
                <w:rFonts w:ascii="宋体" w:hAnsi="宋体" w:cs="仿宋_GB2312"/>
                <w:sz w:val="24"/>
              </w:rPr>
              <w:t>）</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926330" cy="412750"/>
                  <wp:effectExtent l="0" t="0" r="7620" b="6350"/>
                  <wp:docPr id="89" name="图片 71"/>
                  <wp:cNvGraphicFramePr>
                    <a:graphicFrameLocks noChangeAspect="true"/>
                  </wp:cNvGraphicFramePr>
                  <a:graphic>
                    <a:graphicData uri="http://schemas.openxmlformats.org/drawingml/2006/picture">
                      <pic:pic>
                        <pic:nvPicPr>
                          <pic:cNvPr id="90" name="图片 71"/>
                          <pic:cNvPicPr>
                            <a:picLocks noChangeAspect="true"/>
                          </pic:cNvPicPr>
                        </pic:nvPicPr>
                        <pic:blipFill>
                          <a:blip r:embed="rId32"/>
                          <a:stretch>
                            <a:fillRect/>
                          </a:stretch>
                        </pic:blipFill>
                        <pic:spPr>
                          <a:xfrm>
                            <a:off x="0" y="0"/>
                            <a:ext cx="4926330" cy="413241"/>
                          </a:xfrm>
                          <a:prstGeom prst="rect">
                            <a:avLst/>
                          </a:prstGeom>
                        </pic:spPr>
                      </pic:pic>
                    </a:graphicData>
                  </a:graphic>
                </wp:inline>
              </w:drawing>
            </w:r>
          </w:p>
        </w:tc>
        <w:tc>
          <w:tcPr>
            <w:tcW w:w="4334" w:type="dxa"/>
            <w:shd w:val="clear" w:color="auto" w:fill="auto"/>
            <w:vAlign w:val="center"/>
          </w:tcPr>
          <w:p>
            <w:pPr>
              <w:autoSpaceDE w:val="false"/>
              <w:autoSpaceDN w:val="false"/>
              <w:adjustRightInd w:val="false"/>
              <w:jc w:val="left"/>
              <w:rPr>
                <w:rFonts w:ascii="宋体" w:cs="宋体" w:hAnsiTheme="minorHAnsi"/>
                <w:kern w:val="0"/>
                <w:szCs w:val="21"/>
              </w:rPr>
            </w:pPr>
            <w:r>
              <w:rPr>
                <w:rFonts w:hint="eastAsia" w:ascii="宋体" w:cs="宋体" w:hAnsiTheme="minorHAnsi"/>
                <w:b/>
                <w:kern w:val="0"/>
                <w:szCs w:val="21"/>
              </w:rPr>
              <w:t>师范技能：</w:t>
            </w:r>
            <w:r>
              <w:rPr>
                <w:rFonts w:hint="eastAsia" w:ascii="宋体" w:cs="宋体" w:hAnsiTheme="minorHAnsi"/>
                <w:kern w:val="0"/>
                <w:szCs w:val="21"/>
              </w:rPr>
              <w:t>指师范生必备的教学基本功和教学技能（包括讲课说课技能、“三字一话”从教基本功、现代教育技术应用技能、班级指导能力等）。</w:t>
            </w:r>
          </w:p>
          <w:p>
            <w:pPr>
              <w:rPr>
                <w:rFonts w:hint="eastAsia" w:ascii="宋体" w:cs="宋体" w:hAnsiTheme="minorHAnsi"/>
                <w:kern w:val="0"/>
                <w:szCs w:val="21"/>
              </w:rPr>
            </w:pPr>
            <w:r>
              <w:rPr>
                <w:rFonts w:hint="eastAsia" w:ascii="宋体" w:cs="宋体" w:hAnsiTheme="minorHAnsi"/>
                <w:b/>
                <w:kern w:val="0"/>
                <w:szCs w:val="21"/>
              </w:rPr>
              <w:t>师范技能类课程：</w:t>
            </w:r>
            <w:r>
              <w:rPr>
                <w:rFonts w:hint="eastAsia" w:ascii="宋体" w:cs="宋体" w:hAnsiTheme="minorHAnsi"/>
                <w:kern w:val="0"/>
                <w:szCs w:val="21"/>
              </w:rPr>
              <w:t>指培养师范生师范技能的教师教育课程。</w:t>
            </w:r>
          </w:p>
          <w:p>
            <w:pPr>
              <w:rPr>
                <w:color w:val="000000"/>
                <w:kern w:val="0"/>
                <w:szCs w:val="21"/>
              </w:rPr>
            </w:pPr>
            <w:r>
              <w:rPr>
                <w:rFonts w:hint="eastAsia" w:ascii="宋体" w:cs="宋体" w:hAnsiTheme="minorHAnsi"/>
                <w:color w:val="FF0000"/>
                <w:kern w:val="0"/>
                <w:szCs w:val="21"/>
                <w:lang w:val="en-US" w:eastAsia="zh-CN"/>
              </w:rPr>
              <w:t>本表</w:t>
            </w:r>
            <w:r>
              <w:rPr>
                <w:rFonts w:hint="eastAsia" w:ascii="宋体" w:cs="宋体" w:hAnsiTheme="minorHAnsi"/>
                <w:color w:val="FF0000"/>
                <w:kern w:val="0"/>
                <w:szCs w:val="21"/>
              </w:rPr>
              <w:t>不含港澳台生</w:t>
            </w:r>
            <w:r>
              <w:rPr>
                <w:rFonts w:hint="eastAsia" w:ascii="宋体" w:cs="宋体" w:hAnsiTheme="minorHAnsi"/>
                <w:color w:val="FF0000"/>
                <w:kern w:val="0"/>
                <w:szCs w:val="21"/>
                <w:lang w:eastAsia="zh-CN"/>
              </w:rPr>
              <w:t>。</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w:t>
            </w:r>
            <w:r>
              <w:rPr>
                <w:rFonts w:ascii="宋体" w:hAnsi="宋体" w:cs="仿宋_GB2312"/>
                <w:sz w:val="24"/>
              </w:rPr>
              <w:t>-8</w:t>
            </w:r>
            <w:r>
              <w:rPr>
                <w:rFonts w:hint="eastAsia" w:ascii="宋体" w:hAnsi="宋体" w:cs="仿宋_GB2312"/>
                <w:sz w:val="24"/>
              </w:rPr>
              <w:t>：</w:t>
            </w:r>
            <w:r>
              <w:rPr>
                <w:rFonts w:ascii="宋体" w:hAnsi="宋体" w:cs="仿宋_GB2312"/>
                <w:sz w:val="24"/>
              </w:rPr>
              <w:t>教育实践情况（</w:t>
            </w:r>
            <w:r>
              <w:rPr>
                <w:rFonts w:hint="eastAsia" w:ascii="宋体" w:hAnsi="宋体" w:cs="仿宋_GB2312"/>
                <w:sz w:val="24"/>
              </w:rPr>
              <w:t>学年</w:t>
            </w:r>
            <w:r>
              <w:rPr>
                <w:rFonts w:ascii="宋体" w:hAnsi="宋体" w:cs="仿宋_GB2312"/>
                <w:sz w:val="24"/>
              </w:rPr>
              <w:t>）</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w:t>
            </w:r>
            <w:r>
              <w:rPr>
                <w:rFonts w:ascii="宋体" w:hAnsi="宋体" w:cs="仿宋_GB2312"/>
                <w:b/>
                <w:sz w:val="24"/>
              </w:rPr>
              <w:t>教育</w:t>
            </w:r>
            <w:r>
              <w:rPr>
                <w:rFonts w:ascii="宋体" w:hAnsi="宋体" w:cs="仿宋_GB2312"/>
                <w:b/>
                <w:sz w:val="24"/>
              </w:rPr>
              <w:t>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78705" cy="1163320"/>
                  <wp:effectExtent l="0" t="0" r="17145" b="17780"/>
                  <wp:docPr id="92" name="图片 72"/>
                  <wp:cNvGraphicFramePr>
                    <a:graphicFrameLocks noChangeAspect="true"/>
                  </wp:cNvGraphicFramePr>
                  <a:graphic>
                    <a:graphicData uri="http://schemas.openxmlformats.org/drawingml/2006/picture">
                      <pic:pic>
                        <pic:nvPicPr>
                          <pic:cNvPr id="93" name="图片 72"/>
                          <pic:cNvPicPr>
                            <a:picLocks noChangeAspect="true"/>
                          </pic:cNvPicPr>
                        </pic:nvPicPr>
                        <pic:blipFill>
                          <a:blip r:embed="rId33"/>
                          <a:stretch>
                            <a:fillRect/>
                          </a:stretch>
                        </pic:blipFill>
                        <pic:spPr>
                          <a:xfrm>
                            <a:off x="0" y="0"/>
                            <a:ext cx="4878705" cy="1163659"/>
                          </a:xfrm>
                          <a:prstGeom prst="rect">
                            <a:avLst/>
                          </a:prstGeom>
                        </pic:spPr>
                      </pic:pic>
                    </a:graphicData>
                  </a:graphic>
                </wp:inline>
              </w:drawing>
            </w:r>
          </w:p>
        </w:tc>
        <w:tc>
          <w:tcPr>
            <w:tcW w:w="4334" w:type="dxa"/>
            <w:shd w:val="clear" w:color="auto" w:fill="auto"/>
            <w:vAlign w:val="center"/>
          </w:tcPr>
          <w:p>
            <w:pPr>
              <w:rPr>
                <w:rFonts w:hint="eastAsia" w:ascii="宋体" w:cs="宋体" w:hAnsiTheme="minorHAnsi"/>
                <w:kern w:val="0"/>
                <w:szCs w:val="21"/>
              </w:rPr>
            </w:pPr>
            <w:r>
              <w:rPr>
                <w:rFonts w:hint="eastAsia" w:ascii="宋体" w:cs="宋体" w:hAnsiTheme="minorHAnsi"/>
                <w:b/>
                <w:kern w:val="0"/>
                <w:szCs w:val="21"/>
              </w:rPr>
              <w:t>实践类型：</w:t>
            </w:r>
            <w:r>
              <w:rPr>
                <w:rFonts w:hint="eastAsia" w:ascii="宋体" w:cs="宋体" w:hAnsiTheme="minorHAnsi"/>
                <w:kern w:val="0"/>
                <w:szCs w:val="21"/>
              </w:rPr>
              <w:t>教育实践包括教育见习、教育研习、教育实习；专业实践包括专业见习、专业实习、专业实训。</w:t>
            </w:r>
          </w:p>
          <w:p>
            <w:pPr>
              <w:rPr>
                <w:color w:val="000000"/>
                <w:kern w:val="0"/>
                <w:szCs w:val="21"/>
              </w:rPr>
            </w:pPr>
            <w:r>
              <w:rPr>
                <w:rFonts w:hint="eastAsia" w:ascii="宋体" w:cs="宋体" w:hAnsiTheme="minorHAnsi"/>
                <w:color w:val="FF0000"/>
                <w:kern w:val="0"/>
                <w:szCs w:val="21"/>
                <w:lang w:val="en-US" w:eastAsia="zh-CN"/>
              </w:rPr>
              <w:t>注：</w:t>
            </w:r>
            <w:r>
              <w:rPr>
                <w:rFonts w:hint="eastAsia" w:ascii="宋体" w:cs="宋体" w:hAnsiTheme="minorHAnsi"/>
                <w:color w:val="FF0000"/>
                <w:kern w:val="0"/>
                <w:szCs w:val="21"/>
              </w:rPr>
              <w:t>填报在表格中的教师信息必须在师大校级人事库中，学院返聘无法对接</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w:t>
            </w:r>
            <w:r>
              <w:rPr>
                <w:rFonts w:ascii="宋体" w:hAnsi="宋体" w:cs="仿宋_GB2312"/>
                <w:sz w:val="24"/>
              </w:rPr>
              <w:t>-9</w:t>
            </w:r>
            <w:r>
              <w:rPr>
                <w:rFonts w:hint="eastAsia" w:ascii="宋体" w:hAnsi="宋体" w:cs="仿宋_GB2312"/>
                <w:sz w:val="24"/>
              </w:rPr>
              <w:t>：</w:t>
            </w:r>
            <w:r>
              <w:rPr>
                <w:rFonts w:ascii="宋体" w:hAnsi="宋体" w:cs="仿宋_GB2312"/>
                <w:sz w:val="24"/>
              </w:rPr>
              <w:t>师范类专业非本科学生数量基本情况（</w:t>
            </w:r>
            <w:r>
              <w:rPr>
                <w:rFonts w:hint="eastAsia" w:ascii="宋体" w:hAnsi="宋体" w:cs="仿宋_GB2312"/>
                <w:sz w:val="24"/>
              </w:rPr>
              <w:t>时点</w:t>
            </w:r>
            <w:r>
              <w:rPr>
                <w:rFonts w:ascii="宋体" w:hAnsi="宋体" w:cs="仿宋_GB2312"/>
                <w:sz w:val="24"/>
              </w:rPr>
              <w:t>）</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w:t>
            </w:r>
            <w:r>
              <w:rPr>
                <w:rFonts w:ascii="宋体" w:hAnsi="宋体" w:cs="仿宋_GB2312"/>
                <w:b/>
                <w:sz w:val="24"/>
              </w:rPr>
              <w:t>教育</w:t>
            </w:r>
            <w:r>
              <w:rPr>
                <w:rFonts w:ascii="宋体" w:hAnsi="宋体" w:cs="仿宋_GB2312"/>
                <w:b/>
                <w:sz w:val="24"/>
              </w:rPr>
              <w:t>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97120" cy="826770"/>
                  <wp:effectExtent l="0" t="0" r="17780" b="11430"/>
                  <wp:docPr id="95" name="图片 73"/>
                  <wp:cNvGraphicFramePr>
                    <a:graphicFrameLocks noChangeAspect="true"/>
                  </wp:cNvGraphicFramePr>
                  <a:graphic>
                    <a:graphicData uri="http://schemas.openxmlformats.org/drawingml/2006/picture">
                      <pic:pic>
                        <pic:nvPicPr>
                          <pic:cNvPr id="96" name="图片 73"/>
                          <pic:cNvPicPr>
                            <a:picLocks noChangeAspect="true"/>
                          </pic:cNvPicPr>
                        </pic:nvPicPr>
                        <pic:blipFill>
                          <a:blip r:embed="rId34"/>
                          <a:stretch>
                            <a:fillRect/>
                          </a:stretch>
                        </pic:blipFill>
                        <pic:spPr>
                          <a:xfrm>
                            <a:off x="0" y="0"/>
                            <a:ext cx="4897120" cy="827349"/>
                          </a:xfrm>
                          <a:prstGeom prst="rect">
                            <a:avLst/>
                          </a:prstGeom>
                        </pic:spPr>
                      </pic:pic>
                    </a:graphicData>
                  </a:graphic>
                </wp:inline>
              </w:drawing>
            </w:r>
          </w:p>
        </w:tc>
        <w:tc>
          <w:tcPr>
            <w:tcW w:w="4334" w:type="dxa"/>
            <w:shd w:val="clear" w:color="auto" w:fill="auto"/>
            <w:vAlign w:val="center"/>
          </w:tcPr>
          <w:p>
            <w:pPr>
              <w:rPr>
                <w:color w:val="000000"/>
                <w:kern w:val="0"/>
                <w:szCs w:val="21"/>
              </w:rPr>
            </w:pP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w:t>
            </w:r>
            <w:r>
              <w:rPr>
                <w:rFonts w:ascii="宋体" w:hAnsi="宋体" w:cs="仿宋_GB2312"/>
                <w:sz w:val="24"/>
              </w:rPr>
              <w:t>-10</w:t>
            </w:r>
            <w:r>
              <w:rPr>
                <w:rFonts w:hint="eastAsia" w:ascii="宋体" w:hAnsi="宋体" w:cs="仿宋_GB2312"/>
                <w:sz w:val="24"/>
              </w:rPr>
              <w:t>：</w:t>
            </w:r>
            <w:r>
              <w:rPr>
                <w:rFonts w:ascii="宋体" w:hAnsi="宋体" w:cs="仿宋_GB2312"/>
                <w:sz w:val="24"/>
              </w:rPr>
              <w:t>师范技能竞赛奖励情况（</w:t>
            </w:r>
            <w:r>
              <w:rPr>
                <w:rFonts w:hint="eastAsia" w:ascii="宋体" w:hAnsi="宋体" w:cs="仿宋_GB2312"/>
                <w:sz w:val="24"/>
              </w:rPr>
              <w:t>学年</w:t>
            </w:r>
            <w:r>
              <w:rPr>
                <w:rFonts w:ascii="宋体" w:hAnsi="宋体" w:cs="仿宋_GB2312"/>
                <w:sz w:val="24"/>
              </w:rPr>
              <w:t>）</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w:t>
            </w:r>
            <w:r>
              <w:rPr>
                <w:rFonts w:ascii="宋体" w:hAnsi="宋体" w:cs="仿宋_GB2312"/>
                <w:b/>
                <w:sz w:val="24"/>
              </w:rPr>
              <w:t>教育</w:t>
            </w:r>
            <w:r>
              <w:rPr>
                <w:rFonts w:ascii="宋体" w:hAnsi="宋体" w:cs="仿宋_GB2312"/>
                <w:b/>
                <w:sz w:val="24"/>
              </w:rPr>
              <w:t>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69180" cy="628015"/>
                  <wp:effectExtent l="0" t="0" r="7620" b="635"/>
                  <wp:docPr id="98" name="图片 74"/>
                  <wp:cNvGraphicFramePr>
                    <a:graphicFrameLocks noChangeAspect="true"/>
                  </wp:cNvGraphicFramePr>
                  <a:graphic>
                    <a:graphicData uri="http://schemas.openxmlformats.org/drawingml/2006/picture">
                      <pic:pic>
                        <pic:nvPicPr>
                          <pic:cNvPr id="99" name="图片 74"/>
                          <pic:cNvPicPr>
                            <a:picLocks noChangeAspect="true"/>
                          </pic:cNvPicPr>
                        </pic:nvPicPr>
                        <pic:blipFill>
                          <a:blip r:embed="rId35"/>
                          <a:stretch>
                            <a:fillRect/>
                          </a:stretch>
                        </pic:blipFill>
                        <pic:spPr>
                          <a:xfrm>
                            <a:off x="0" y="0"/>
                            <a:ext cx="4869180" cy="628580"/>
                          </a:xfrm>
                          <a:prstGeom prst="rect">
                            <a:avLst/>
                          </a:prstGeom>
                        </pic:spPr>
                      </pic:pic>
                    </a:graphicData>
                  </a:graphic>
                </wp:inline>
              </w:drawing>
            </w:r>
          </w:p>
        </w:tc>
        <w:tc>
          <w:tcPr>
            <w:tcW w:w="4334" w:type="dxa"/>
            <w:shd w:val="clear" w:color="auto" w:fill="auto"/>
            <w:vAlign w:val="center"/>
          </w:tcPr>
          <w:p>
            <w:pPr>
              <w:autoSpaceDE w:val="false"/>
              <w:autoSpaceDN w:val="false"/>
              <w:adjustRightInd w:val="false"/>
              <w:rPr>
                <w:rFonts w:ascii="宋体" w:cs="宋体" w:hAnsiTheme="minorHAnsi"/>
                <w:kern w:val="0"/>
                <w:szCs w:val="21"/>
              </w:rPr>
            </w:pPr>
            <w:r>
              <w:rPr>
                <w:rFonts w:hint="eastAsia" w:ascii="宋体" w:cs="宋体" w:hAnsiTheme="minorHAnsi"/>
                <w:b/>
                <w:kern w:val="0"/>
                <w:szCs w:val="21"/>
              </w:rPr>
              <w:t>此表格填报范围限于：</w:t>
            </w:r>
            <w:r>
              <w:rPr>
                <w:rFonts w:hint="eastAsia" w:ascii="宋体" w:cs="宋体" w:hAnsiTheme="minorHAnsi"/>
                <w:kern w:val="0"/>
                <w:szCs w:val="21"/>
              </w:rPr>
              <w:t>全国师范院校师范生教学技能竞赛（由全国地方高等师范院校教务处长联席会主办）、中国师范大学理科师范生教学技能创新大赛（即东芝杯，由教育部和东芝（中国）有限公司主办）、省级师范技能竞赛（仅包括省级教育主管部门主办的师范技能比赛，若省级教育主管部门未主办该类竞赛，则由省级教育主管部门指定认可一项师范技能竞赛为省级竞赛）。</w:t>
            </w:r>
          </w:p>
          <w:p>
            <w:pPr>
              <w:autoSpaceDE w:val="false"/>
              <w:autoSpaceDN w:val="false"/>
              <w:adjustRightInd w:val="false"/>
              <w:jc w:val="left"/>
              <w:rPr>
                <w:rFonts w:ascii="宋体" w:cs="宋体" w:hAnsiTheme="minorHAnsi"/>
                <w:kern w:val="0"/>
                <w:szCs w:val="21"/>
              </w:rPr>
            </w:pPr>
            <w:r>
              <w:rPr>
                <w:rFonts w:hint="eastAsia" w:ascii="宋体" w:cs="宋体" w:hAnsiTheme="minorHAnsi"/>
                <w:b/>
                <w:kern w:val="0"/>
                <w:szCs w:val="21"/>
              </w:rPr>
              <w:t>竞赛范围：</w:t>
            </w:r>
            <w:r>
              <w:rPr>
                <w:rFonts w:hint="eastAsia" w:ascii="宋体" w:cs="宋体" w:hAnsiTheme="minorHAnsi"/>
                <w:kern w:val="0"/>
                <w:szCs w:val="21"/>
              </w:rPr>
              <w:t>面向全国、面向全省（直辖市）。</w:t>
            </w:r>
          </w:p>
          <w:p>
            <w:pPr>
              <w:autoSpaceDE w:val="false"/>
              <w:autoSpaceDN w:val="false"/>
              <w:adjustRightInd w:val="false"/>
              <w:rPr>
                <w:color w:val="000000"/>
                <w:kern w:val="0"/>
                <w:szCs w:val="21"/>
              </w:rPr>
            </w:pPr>
            <w:r>
              <w:rPr>
                <w:rFonts w:hint="eastAsia" w:ascii="宋体" w:cs="宋体" w:hAnsiTheme="minorHAnsi"/>
                <w:b/>
                <w:kern w:val="0"/>
                <w:szCs w:val="21"/>
              </w:rPr>
              <w:t>名次：</w:t>
            </w:r>
            <w:r>
              <w:rPr>
                <w:rFonts w:hint="eastAsia" w:ascii="宋体" w:cs="宋体" w:hAnsiTheme="minorHAnsi"/>
                <w:kern w:val="0"/>
                <w:szCs w:val="21"/>
              </w:rPr>
              <w:t>一等奖、二等奖、三等奖、其他奖（含优胜奖、创新奖等</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师范</w:t>
            </w:r>
            <w:r>
              <w:rPr>
                <w:rFonts w:ascii="宋体" w:hAnsi="宋体" w:cs="仿宋_GB2312"/>
                <w:sz w:val="24"/>
              </w:rPr>
              <w:t>-11</w:t>
            </w:r>
            <w:r>
              <w:rPr>
                <w:rFonts w:hint="eastAsia" w:ascii="宋体" w:hAnsi="宋体" w:cs="仿宋_GB2312"/>
                <w:sz w:val="24"/>
              </w:rPr>
              <w:t>：</w:t>
            </w:r>
            <w:r>
              <w:rPr>
                <w:rFonts w:ascii="宋体" w:hAnsi="宋体" w:cs="仿宋_GB2312"/>
                <w:sz w:val="24"/>
              </w:rPr>
              <w:t>师范类专业应届毕业生情况（</w:t>
            </w:r>
            <w:r>
              <w:rPr>
                <w:rFonts w:hint="eastAsia" w:ascii="宋体" w:hAnsi="宋体" w:cs="仿宋_GB2312"/>
                <w:sz w:val="24"/>
              </w:rPr>
              <w:t>学年</w:t>
            </w:r>
            <w:r>
              <w:rPr>
                <w:rFonts w:ascii="宋体" w:hAnsi="宋体" w:cs="仿宋_GB2312"/>
                <w:sz w:val="24"/>
              </w:rPr>
              <w:t>）</w:t>
            </w:r>
          </w:p>
        </w:tc>
        <w:tc>
          <w:tcPr>
            <w:tcW w:w="1086" w:type="dxa"/>
            <w:shd w:val="clear" w:color="auto" w:fill="auto"/>
            <w:vAlign w:val="center"/>
          </w:tcPr>
          <w:p>
            <w:pPr>
              <w:rPr>
                <w:rFonts w:ascii="宋体" w:hAnsi="宋体"/>
              </w:rPr>
            </w:pPr>
            <w:r>
              <w:rPr>
                <w:rFonts w:hint="eastAsia" w:ascii="宋体" w:hAnsi="宋体" w:cs="仿宋_GB2312"/>
                <w:sz w:val="24"/>
              </w:rPr>
              <w:t>教务处</w:t>
            </w:r>
            <w:r>
              <w:rPr>
                <w:rFonts w:ascii="宋体" w:hAnsi="宋体" w:cs="仿宋_GB2312"/>
                <w:b/>
                <w:sz w:val="24"/>
              </w:rPr>
              <w:t>教师</w:t>
            </w:r>
            <w:r>
              <w:rPr>
                <w:rFonts w:ascii="宋体" w:hAnsi="宋体" w:cs="仿宋_GB2312"/>
                <w:b/>
                <w:sz w:val="24"/>
              </w:rPr>
              <w:t>教育</w:t>
            </w:r>
            <w:r>
              <w:rPr>
                <w:rFonts w:ascii="宋体" w:hAnsi="宋体" w:cs="仿宋_GB2312"/>
                <w:b/>
                <w:sz w:val="24"/>
              </w:rPr>
              <w:t>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69180" cy="568325"/>
                  <wp:effectExtent l="0" t="0" r="7620" b="3175"/>
                  <wp:docPr id="101" name="图片 75"/>
                  <wp:cNvGraphicFramePr>
                    <a:graphicFrameLocks noChangeAspect="true"/>
                  </wp:cNvGraphicFramePr>
                  <a:graphic>
                    <a:graphicData uri="http://schemas.openxmlformats.org/drawingml/2006/picture">
                      <pic:pic>
                        <pic:nvPicPr>
                          <pic:cNvPr id="102" name="图片 75"/>
                          <pic:cNvPicPr>
                            <a:picLocks noChangeAspect="true"/>
                          </pic:cNvPicPr>
                        </pic:nvPicPr>
                        <pic:blipFill>
                          <a:blip r:embed="rId36"/>
                          <a:stretch>
                            <a:fillRect/>
                          </a:stretch>
                        </pic:blipFill>
                        <pic:spPr>
                          <a:xfrm>
                            <a:off x="0" y="0"/>
                            <a:ext cx="4869180" cy="568849"/>
                          </a:xfrm>
                          <a:prstGeom prst="rect">
                            <a:avLst/>
                          </a:prstGeom>
                        </pic:spPr>
                      </pic:pic>
                    </a:graphicData>
                  </a:graphic>
                </wp:inline>
              </w:drawing>
            </w:r>
          </w:p>
        </w:tc>
        <w:tc>
          <w:tcPr>
            <w:tcW w:w="4334" w:type="dxa"/>
            <w:shd w:val="clear" w:color="auto" w:fill="auto"/>
            <w:vAlign w:val="center"/>
          </w:tcPr>
          <w:p>
            <w:pPr>
              <w:autoSpaceDE w:val="false"/>
              <w:autoSpaceDN w:val="false"/>
              <w:adjustRightInd w:val="false"/>
              <w:rPr>
                <w:color w:val="000000"/>
                <w:kern w:val="0"/>
                <w:szCs w:val="21"/>
              </w:rPr>
            </w:pPr>
            <w:r>
              <w:rPr>
                <w:rFonts w:hint="eastAsia" w:ascii="宋体" w:cs="宋体" w:hAnsiTheme="minorHAnsi"/>
                <w:kern w:val="0"/>
                <w:szCs w:val="21"/>
              </w:rPr>
              <w:t>等</w:t>
            </w:r>
            <w:r>
              <w:rPr>
                <w:rFonts w:hint="eastAsia" w:ascii="宋体" w:hAnsi="宋体" w:cs="宋体"/>
                <w:kern w:val="0"/>
                <w:szCs w:val="21"/>
              </w:rPr>
              <w:t>级：一级甲等（</w:t>
            </w:r>
            <w:r>
              <w:rPr>
                <w:rFonts w:ascii="宋体" w:hAnsi="宋体" w:cs="TimesNewRomanPSMT"/>
                <w:kern w:val="0"/>
                <w:szCs w:val="21"/>
              </w:rPr>
              <w:t>97</w:t>
            </w:r>
            <w:r>
              <w:rPr>
                <w:rFonts w:hint="eastAsia" w:ascii="宋体" w:hAnsi="宋体" w:cs="宋体"/>
                <w:kern w:val="0"/>
                <w:szCs w:val="21"/>
              </w:rPr>
              <w:t>分－</w:t>
            </w:r>
            <w:r>
              <w:rPr>
                <w:rFonts w:ascii="宋体" w:hAnsi="宋体" w:cs="TimesNewRomanPSMT"/>
                <w:kern w:val="0"/>
                <w:szCs w:val="21"/>
              </w:rPr>
              <w:t>100</w:t>
            </w:r>
            <w:r>
              <w:rPr>
                <w:rFonts w:hint="eastAsia" w:ascii="宋体" w:hAnsi="宋体" w:cs="宋体"/>
                <w:kern w:val="0"/>
                <w:szCs w:val="21"/>
              </w:rPr>
              <w:t>分之间）；一级乙等（</w:t>
            </w:r>
            <w:r>
              <w:rPr>
                <w:rFonts w:ascii="宋体" w:hAnsi="宋体" w:cs="TimesNewRomanPSMT"/>
                <w:kern w:val="0"/>
                <w:szCs w:val="21"/>
              </w:rPr>
              <w:t>92</w:t>
            </w:r>
            <w:r>
              <w:rPr>
                <w:rFonts w:hint="eastAsia" w:ascii="宋体" w:hAnsi="宋体" w:cs="宋体"/>
                <w:kern w:val="0"/>
                <w:szCs w:val="21"/>
              </w:rPr>
              <w:t>分－</w:t>
            </w:r>
            <w:r>
              <w:rPr>
                <w:rFonts w:ascii="宋体" w:hAnsi="宋体" w:cs="TimesNewRomanPSMT"/>
                <w:kern w:val="0"/>
                <w:szCs w:val="21"/>
              </w:rPr>
              <w:t>96.99</w:t>
            </w:r>
            <w:r>
              <w:rPr>
                <w:rFonts w:hint="eastAsia" w:ascii="宋体" w:hAnsi="宋体" w:cs="宋体"/>
                <w:kern w:val="0"/>
                <w:szCs w:val="21"/>
              </w:rPr>
              <w:t>分之间）；二级甲等（</w:t>
            </w:r>
            <w:r>
              <w:rPr>
                <w:rFonts w:ascii="宋体" w:hAnsi="宋体" w:cs="TimesNewRomanPSMT"/>
                <w:kern w:val="0"/>
                <w:szCs w:val="21"/>
              </w:rPr>
              <w:t>87</w:t>
            </w:r>
            <w:r>
              <w:rPr>
                <w:rFonts w:hint="eastAsia" w:ascii="宋体" w:hAnsi="宋体" w:cs="宋体"/>
                <w:kern w:val="0"/>
                <w:szCs w:val="21"/>
              </w:rPr>
              <w:t>分－</w:t>
            </w:r>
            <w:r>
              <w:rPr>
                <w:rFonts w:ascii="宋体" w:hAnsi="宋体" w:cs="TimesNewRomanPSMT"/>
                <w:kern w:val="0"/>
                <w:szCs w:val="21"/>
              </w:rPr>
              <w:t>91.99</w:t>
            </w:r>
            <w:r>
              <w:rPr>
                <w:rFonts w:hint="eastAsia" w:ascii="宋体" w:hAnsi="宋体" w:cs="宋体"/>
                <w:kern w:val="0"/>
                <w:szCs w:val="21"/>
              </w:rPr>
              <w:t>分之间）；二级乙等（</w:t>
            </w:r>
            <w:r>
              <w:rPr>
                <w:rFonts w:ascii="宋体" w:hAnsi="宋体" w:cs="TimesNewRomanPSMT"/>
                <w:kern w:val="0"/>
                <w:szCs w:val="21"/>
              </w:rPr>
              <w:t>80</w:t>
            </w:r>
            <w:r>
              <w:rPr>
                <w:rFonts w:hint="eastAsia" w:ascii="宋体" w:hAnsi="宋体" w:cs="宋体"/>
                <w:kern w:val="0"/>
                <w:szCs w:val="21"/>
              </w:rPr>
              <w:t>分－</w:t>
            </w:r>
            <w:r>
              <w:rPr>
                <w:rFonts w:ascii="宋体" w:hAnsi="宋体" w:cs="TimesNewRomanPSMT"/>
                <w:kern w:val="0"/>
                <w:szCs w:val="21"/>
              </w:rPr>
              <w:t>86.99</w:t>
            </w:r>
            <w:r>
              <w:rPr>
                <w:rFonts w:hint="eastAsia" w:ascii="宋体" w:hAnsi="宋体" w:cs="宋体"/>
                <w:kern w:val="0"/>
                <w:szCs w:val="21"/>
              </w:rPr>
              <w:t>分之间）；三级甲等（</w:t>
            </w:r>
            <w:r>
              <w:rPr>
                <w:rFonts w:ascii="宋体" w:hAnsi="宋体" w:cs="TimesNewRomanPSMT"/>
                <w:kern w:val="0"/>
                <w:szCs w:val="21"/>
              </w:rPr>
              <w:t>70</w:t>
            </w:r>
            <w:r>
              <w:rPr>
                <w:rFonts w:hint="eastAsia" w:ascii="宋体" w:hAnsi="宋体" w:cs="宋体"/>
                <w:kern w:val="0"/>
                <w:szCs w:val="21"/>
              </w:rPr>
              <w:t>分－</w:t>
            </w:r>
            <w:r>
              <w:rPr>
                <w:rFonts w:ascii="宋体" w:hAnsi="宋体" w:cs="TimesNewRomanPSMT"/>
                <w:kern w:val="0"/>
                <w:szCs w:val="21"/>
              </w:rPr>
              <w:t>79.99</w:t>
            </w:r>
            <w:r>
              <w:rPr>
                <w:rFonts w:hint="eastAsia" w:ascii="宋体" w:hAnsi="宋体" w:cs="宋体"/>
                <w:kern w:val="0"/>
                <w:szCs w:val="21"/>
              </w:rPr>
              <w:t>分之间）；三级乙等（</w:t>
            </w:r>
            <w:r>
              <w:rPr>
                <w:rFonts w:ascii="宋体" w:hAnsi="宋体" w:cs="TimesNewRomanPSMT"/>
                <w:kern w:val="0"/>
                <w:szCs w:val="21"/>
              </w:rPr>
              <w:t>60</w:t>
            </w:r>
            <w:r>
              <w:rPr>
                <w:rFonts w:hint="eastAsia" w:ascii="宋体" w:hAnsi="宋体" w:cs="宋体"/>
                <w:kern w:val="0"/>
                <w:szCs w:val="21"/>
              </w:rPr>
              <w:t>分－</w:t>
            </w:r>
            <w:r>
              <w:rPr>
                <w:rFonts w:ascii="宋体" w:hAnsi="宋体" w:cs="TimesNewRomanPSMT"/>
                <w:kern w:val="0"/>
                <w:szCs w:val="21"/>
              </w:rPr>
              <w:t>69.99</w:t>
            </w:r>
            <w:r>
              <w:rPr>
                <w:rFonts w:hint="eastAsia" w:ascii="宋体" w:hAnsi="宋体" w:cs="宋体"/>
                <w:kern w:val="0"/>
                <w:szCs w:val="21"/>
              </w:rPr>
              <w:t>分之间）</w:t>
            </w:r>
            <w:r>
              <w:rPr>
                <w:rFonts w:hint="eastAsia" w:ascii="宋体" w:cs="宋体" w:hAnsiTheme="minorHAnsi"/>
                <w:kern w:val="0"/>
                <w:szCs w:val="21"/>
              </w:rPr>
              <w:t>。</w:t>
            </w:r>
          </w:p>
        </w:tc>
      </w:tr>
      <w:tr>
        <w:trPr>
          <w:trHeight w:val="285" w:hRule="atLeast"/>
        </w:trPr>
        <w:tc>
          <w:tcPr>
            <w:tcW w:w="15474" w:type="dxa"/>
            <w:gridSpan w:val="4"/>
            <w:shd w:val="clear" w:color="auto" w:fill="auto"/>
            <w:vAlign w:val="center"/>
          </w:tcPr>
          <w:p>
            <w:pPr>
              <w:rPr>
                <w:rFonts w:ascii="宋体" w:hAnsi="宋体" w:cs="仿宋_GB2312"/>
                <w:b/>
                <w:sz w:val="24"/>
              </w:rPr>
            </w:pPr>
            <w:r>
              <w:rPr>
                <w:rFonts w:hint="eastAsia" w:ascii="宋体" w:hAnsi="宋体" w:cs="仿宋_GB2312"/>
                <w:b/>
                <w:sz w:val="24"/>
              </w:rPr>
              <w:t>工科类专业情况补充表</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工科-1：工科类专业课程情况（学年）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b/>
                <w:sz w:val="24"/>
              </w:rPr>
              <w:t>教学科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5039995" cy="581025"/>
                  <wp:effectExtent l="0" t="0" r="0" b="9525"/>
                  <wp:docPr id="104" name="图片 32"/>
                  <wp:cNvGraphicFramePr>
                    <a:graphicFrameLocks noChangeAspect="true"/>
                  </wp:cNvGraphicFramePr>
                  <a:graphic>
                    <a:graphicData uri="http://schemas.openxmlformats.org/drawingml/2006/picture">
                      <pic:pic>
                        <pic:nvPicPr>
                          <pic:cNvPr id="105" name="图片 32"/>
                          <pic:cNvPicPr>
                            <a:picLocks noChangeAspect="true"/>
                          </pic:cNvPicPr>
                        </pic:nvPicPr>
                        <pic:blipFill>
                          <a:blip r:embed="rId37"/>
                          <a:stretch>
                            <a:fillRect/>
                          </a:stretch>
                        </pic:blipFill>
                        <pic:spPr>
                          <a:xfrm>
                            <a:off x="0" y="0"/>
                            <a:ext cx="5040000" cy="581539"/>
                          </a:xfrm>
                          <a:prstGeom prst="rect">
                            <a:avLst/>
                          </a:prstGeom>
                        </pic:spPr>
                      </pic:pic>
                    </a:graphicData>
                  </a:graphic>
                </wp:inline>
              </w:drawing>
            </w:r>
          </w:p>
        </w:tc>
        <w:tc>
          <w:tcPr>
            <w:tcW w:w="4334" w:type="dxa"/>
            <w:shd w:val="clear" w:color="auto" w:fill="auto"/>
            <w:vAlign w:val="center"/>
          </w:tcPr>
          <w:p>
            <w:pPr>
              <w:keepNext w:val="false"/>
              <w:keepLines w:val="false"/>
              <w:widowControl/>
              <w:suppressLineNumbers w:val="false"/>
              <w:jc w:val="left"/>
              <w:rPr>
                <w:rFonts w:hint="eastAsia" w:ascii="宋体" w:hAnsi="宋体" w:eastAsia="宋体" w:cs="宋体"/>
                <w:b w:val="false"/>
                <w:bCs/>
                <w:sz w:val="21"/>
                <w:szCs w:val="21"/>
              </w:rPr>
            </w:pPr>
            <w:r>
              <w:rPr>
                <w:rFonts w:hint="eastAsia" w:ascii="宋体" w:hAnsi="宋体" w:eastAsia="宋体" w:cs="宋体"/>
                <w:b w:val="false"/>
                <w:bCs/>
                <w:color w:val="FF0000"/>
                <w:kern w:val="0"/>
                <w:sz w:val="21"/>
                <w:szCs w:val="21"/>
                <w:lang w:val="en-US" w:eastAsia="zh-CN" w:bidi="ar"/>
              </w:rPr>
              <w:t>数学与自然科学课程：是指数学、物理、化学等公共必修课；</w:t>
            </w:r>
            <w:r>
              <w:rPr>
                <w:rFonts w:hint="eastAsia" w:ascii="宋体" w:hAnsi="宋体" w:eastAsia="宋体" w:cs="宋体"/>
                <w:b w:val="false"/>
                <w:bCs/>
                <w:color w:val="000000"/>
                <w:kern w:val="0"/>
                <w:sz w:val="21"/>
                <w:szCs w:val="21"/>
                <w:lang w:val="en-US" w:eastAsia="zh-CN" w:bidi="ar"/>
              </w:rPr>
              <w:t xml:space="preserve"> </w:t>
            </w:r>
          </w:p>
          <w:p>
            <w:pPr>
              <w:keepNext w:val="false"/>
              <w:keepLines w:val="false"/>
              <w:widowControl/>
              <w:suppressLineNumbers w:val="false"/>
              <w:jc w:val="left"/>
              <w:rPr>
                <w:rFonts w:hint="eastAsia" w:ascii="宋体" w:hAnsi="宋体" w:eastAsia="宋体" w:cs="宋体"/>
                <w:b w:val="false"/>
                <w:bCs/>
                <w:sz w:val="21"/>
                <w:szCs w:val="21"/>
              </w:rPr>
            </w:pPr>
            <w:r>
              <w:rPr>
                <w:rFonts w:hint="eastAsia" w:ascii="宋体" w:hAnsi="宋体" w:eastAsia="宋体" w:cs="宋体"/>
                <w:b w:val="false"/>
                <w:bCs/>
                <w:color w:val="000000"/>
                <w:kern w:val="0"/>
                <w:sz w:val="21"/>
                <w:szCs w:val="21"/>
                <w:lang w:val="en-US" w:eastAsia="zh-CN" w:bidi="ar"/>
              </w:rPr>
              <w:t xml:space="preserve">工程基础课程：是指 工科类专业通用的，在专业应用能力培养中涉及数学和自然科学的必修课程； </w:t>
            </w:r>
          </w:p>
          <w:p>
            <w:pPr>
              <w:keepNext w:val="false"/>
              <w:keepLines w:val="false"/>
              <w:widowControl/>
              <w:suppressLineNumbers w:val="false"/>
              <w:jc w:val="left"/>
              <w:rPr>
                <w:rFonts w:hint="eastAsia" w:ascii="宋体" w:hAnsi="宋体" w:eastAsia="宋体" w:cs="宋体"/>
                <w:b w:val="false"/>
                <w:bCs/>
                <w:sz w:val="21"/>
                <w:szCs w:val="21"/>
              </w:rPr>
            </w:pPr>
            <w:r>
              <w:rPr>
                <w:rFonts w:hint="eastAsia" w:ascii="宋体" w:hAnsi="宋体" w:eastAsia="宋体" w:cs="宋体"/>
                <w:b w:val="false"/>
                <w:bCs/>
                <w:color w:val="000000"/>
                <w:kern w:val="0"/>
                <w:sz w:val="21"/>
                <w:szCs w:val="21"/>
                <w:lang w:val="en-US" w:eastAsia="zh-CN" w:bidi="ar"/>
              </w:rPr>
              <w:t xml:space="preserve">专业基础课程：是指与本专业相关的，在本专业应用能力培养中涉及数学和自然科学的专业必修课程； </w:t>
            </w:r>
          </w:p>
          <w:p>
            <w:pPr>
              <w:keepNext w:val="false"/>
              <w:keepLines w:val="false"/>
              <w:widowControl/>
              <w:suppressLineNumbers w:val="false"/>
              <w:jc w:val="left"/>
              <w:rPr>
                <w:rFonts w:hint="eastAsia" w:ascii="宋体" w:hAnsi="宋体" w:eastAsia="宋体" w:cs="宋体"/>
                <w:b w:val="false"/>
                <w:bCs/>
                <w:sz w:val="21"/>
                <w:szCs w:val="21"/>
              </w:rPr>
            </w:pPr>
            <w:r>
              <w:rPr>
                <w:rFonts w:hint="eastAsia" w:ascii="宋体" w:hAnsi="宋体" w:eastAsia="宋体" w:cs="宋体"/>
                <w:b w:val="false"/>
                <w:bCs/>
                <w:color w:val="000000"/>
                <w:kern w:val="0"/>
                <w:sz w:val="21"/>
                <w:szCs w:val="21"/>
                <w:lang w:val="en-US" w:eastAsia="zh-CN" w:bidi="ar"/>
              </w:rPr>
              <w:t xml:space="preserve">专业课程：是指本专业培养学生系统设计与实现能力的专业必修课程。 </w:t>
            </w:r>
          </w:p>
          <w:p>
            <w:pPr>
              <w:keepNext w:val="false"/>
              <w:keepLines w:val="false"/>
              <w:widowControl/>
              <w:suppressLineNumbers w:val="false"/>
              <w:jc w:val="left"/>
              <w:rPr>
                <w:rFonts w:hint="eastAsia" w:ascii="宋体" w:hAnsi="宋体" w:eastAsia="宋体" w:cs="宋体"/>
                <w:b w:val="false"/>
                <w:bCs/>
                <w:sz w:val="21"/>
                <w:szCs w:val="21"/>
              </w:rPr>
            </w:pPr>
            <w:r>
              <w:rPr>
                <w:rFonts w:hint="eastAsia" w:ascii="宋体" w:hAnsi="宋体" w:eastAsia="宋体" w:cs="宋体"/>
                <w:b w:val="false"/>
                <w:bCs/>
                <w:color w:val="000000"/>
                <w:kern w:val="0"/>
                <w:sz w:val="21"/>
                <w:szCs w:val="21"/>
                <w:lang w:val="en-US" w:eastAsia="zh-CN" w:bidi="ar"/>
              </w:rPr>
              <w:t xml:space="preserve">表内校验：1.“校内专业代码”+“课程号”不重复。 </w:t>
            </w:r>
          </w:p>
          <w:p>
            <w:pPr>
              <w:keepNext w:val="false"/>
              <w:keepLines w:val="false"/>
              <w:widowControl/>
              <w:suppressLineNumbers w:val="false"/>
              <w:jc w:val="left"/>
              <w:rPr>
                <w:rFonts w:hint="eastAsia" w:ascii="宋体" w:hAnsi="宋体" w:eastAsia="宋体" w:cs="宋体"/>
                <w:b w:val="false"/>
                <w:bCs/>
                <w:color w:val="000000"/>
                <w:kern w:val="0"/>
                <w:sz w:val="21"/>
                <w:szCs w:val="21"/>
                <w:lang w:val="en-US" w:eastAsia="zh-CN" w:bidi="ar"/>
              </w:rPr>
            </w:pPr>
            <w:r>
              <w:rPr>
                <w:rFonts w:hint="eastAsia" w:ascii="宋体" w:hAnsi="宋体" w:eastAsia="宋体" w:cs="宋体"/>
                <w:b w:val="false"/>
                <w:bCs/>
                <w:color w:val="000000"/>
                <w:kern w:val="0"/>
                <w:sz w:val="21"/>
                <w:szCs w:val="21"/>
                <w:lang w:val="en-US" w:eastAsia="zh-CN" w:bidi="ar"/>
              </w:rPr>
              <w:t>表间校验：</w:t>
            </w:r>
            <w:r>
              <w:rPr>
                <w:rFonts w:hint="eastAsia" w:ascii="宋体" w:hAnsi="宋体" w:eastAsia="宋体" w:cs="宋体"/>
                <w:b w:val="false"/>
                <w:bCs/>
                <w:color w:val="FF0000"/>
                <w:kern w:val="0"/>
                <w:sz w:val="21"/>
                <w:szCs w:val="21"/>
                <w:lang w:val="en-US" w:eastAsia="zh-CN" w:bidi="ar"/>
              </w:rPr>
              <w:t>1.“课程号”、“课程名称”与表 5-1-1 保持一致；</w:t>
            </w:r>
          </w:p>
          <w:p>
            <w:pPr>
              <w:keepNext w:val="false"/>
              <w:keepLines w:val="false"/>
              <w:widowControl/>
              <w:suppressLineNumbers w:val="false"/>
              <w:jc w:val="left"/>
              <w:rPr>
                <w:rFonts w:ascii="宋体" w:hAnsi="宋体" w:cs="仿宋_GB2312"/>
                <w:sz w:val="24"/>
              </w:rPr>
            </w:pPr>
            <w:r>
              <w:rPr>
                <w:rFonts w:hint="eastAsia" w:ascii="宋体" w:hAnsi="宋体" w:eastAsia="宋体" w:cs="宋体"/>
                <w:b w:val="false"/>
                <w:bCs/>
                <w:color w:val="FF0000"/>
                <w:kern w:val="0"/>
                <w:sz w:val="21"/>
                <w:szCs w:val="21"/>
                <w:lang w:val="en-US" w:eastAsia="zh-CN" w:bidi="ar"/>
              </w:rPr>
              <w:t xml:space="preserve"> 2.“面向校内专业”、“面向校内专业代码”与表 1-4-1 的“校内专业代码”、“校内专业名称”保持一致。</w:t>
            </w:r>
          </w:p>
        </w:tc>
      </w:tr>
      <w:tr>
        <w:trPr>
          <w:trHeight w:val="285" w:hRule="atLeast"/>
        </w:trPr>
        <w:tc>
          <w:tcPr>
            <w:tcW w:w="2079" w:type="dxa"/>
            <w:shd w:val="clear" w:color="auto" w:fill="auto"/>
            <w:vAlign w:val="center"/>
          </w:tcPr>
          <w:p>
            <w:pPr>
              <w:rPr>
                <w:rFonts w:ascii="宋体" w:hAnsi="宋体" w:cs="仿宋_GB2312"/>
                <w:sz w:val="24"/>
              </w:rPr>
            </w:pPr>
            <w:r>
              <w:rPr>
                <w:rFonts w:hint="eastAsia" w:ascii="宋体" w:hAnsi="宋体" w:cs="仿宋_GB2312"/>
                <w:sz w:val="24"/>
              </w:rPr>
              <w:t>工科-2：工科类专业经费情况（自然年）</w:t>
            </w:r>
          </w:p>
        </w:tc>
        <w:tc>
          <w:tcPr>
            <w:tcW w:w="1086" w:type="dxa"/>
            <w:shd w:val="clear" w:color="auto" w:fill="auto"/>
            <w:vAlign w:val="center"/>
          </w:tcPr>
          <w:p>
            <w:pPr>
              <w:rPr>
                <w:rFonts w:ascii="宋体" w:hAnsi="宋体" w:cs="仿宋_GB2312"/>
                <w:sz w:val="24"/>
              </w:rPr>
            </w:pPr>
            <w:r>
              <w:rPr>
                <w:rFonts w:hint="eastAsia" w:ascii="宋体" w:hAnsi="宋体" w:cs="仿宋_GB2312"/>
                <w:sz w:val="24"/>
              </w:rPr>
              <w:t>教务处</w:t>
            </w:r>
            <w:r>
              <w:rPr>
                <w:rFonts w:hint="eastAsia" w:ascii="宋体" w:hAnsi="宋体" w:cs="仿宋_GB2312"/>
                <w:sz w:val="24"/>
              </w:rPr>
              <w:t>综合科</w:t>
            </w:r>
          </w:p>
        </w:tc>
        <w:tc>
          <w:tcPr>
            <w:tcW w:w="7975" w:type="dxa"/>
            <w:shd w:val="clear" w:color="auto" w:fill="auto"/>
            <w:vAlign w:val="center"/>
          </w:tcPr>
          <w:p>
            <w:pPr>
              <w:rPr>
                <w:rFonts w:ascii="宋体" w:hAnsi="宋体" w:cs="仿宋_GB2312"/>
                <w:sz w:val="24"/>
              </w:rPr>
            </w:pPr>
            <w:r>
              <w:rPr>
                <w:rFonts w:ascii="宋体" w:hAnsi="宋体"/>
              </w:rPr>
              <w:drawing>
                <wp:inline distT="0" distB="0" distL="0" distR="0">
                  <wp:extent cx="4839970" cy="514350"/>
                  <wp:effectExtent l="0" t="0" r="17780" b="0"/>
                  <wp:docPr id="107" name="图片 33"/>
                  <wp:cNvGraphicFramePr>
                    <a:graphicFrameLocks noChangeAspect="true"/>
                  </wp:cNvGraphicFramePr>
                  <a:graphic>
                    <a:graphicData uri="http://schemas.openxmlformats.org/drawingml/2006/picture">
                      <pic:pic>
                        <pic:nvPicPr>
                          <pic:cNvPr id="108" name="图片 33"/>
                          <pic:cNvPicPr>
                            <a:picLocks noChangeAspect="true"/>
                          </pic:cNvPicPr>
                        </pic:nvPicPr>
                        <pic:blipFill>
                          <a:blip r:embed="rId38"/>
                          <a:stretch>
                            <a:fillRect/>
                          </a:stretch>
                        </pic:blipFill>
                        <pic:spPr>
                          <a:xfrm>
                            <a:off x="0" y="0"/>
                            <a:ext cx="4839970" cy="514981"/>
                          </a:xfrm>
                          <a:prstGeom prst="rect">
                            <a:avLst/>
                          </a:prstGeom>
                        </pic:spPr>
                      </pic:pic>
                    </a:graphicData>
                  </a:graphic>
                </wp:inline>
              </w:drawing>
            </w:r>
          </w:p>
        </w:tc>
        <w:tc>
          <w:tcPr>
            <w:tcW w:w="4334" w:type="dxa"/>
            <w:shd w:val="clear" w:color="auto" w:fill="auto"/>
            <w:vAlign w:val="center"/>
          </w:tcPr>
          <w:p>
            <w:pPr>
              <w:autoSpaceDE w:val="false"/>
              <w:autoSpaceDN w:val="false"/>
              <w:adjustRightInd w:val="false"/>
              <w:rPr>
                <w:rFonts w:ascii="宋体" w:cs="宋体" w:hAnsiTheme="minorHAnsi"/>
                <w:kern w:val="0"/>
                <w:szCs w:val="21"/>
              </w:rPr>
            </w:pPr>
            <w:r>
              <w:rPr>
                <w:rFonts w:hint="eastAsia" w:ascii="宋体" w:cs="宋体" w:hAnsiTheme="minorHAnsi"/>
                <w:b/>
                <w:kern w:val="0"/>
                <w:szCs w:val="21"/>
              </w:rPr>
              <w:t>专业实验经费支出：</w:t>
            </w:r>
            <w:r>
              <w:rPr>
                <w:rFonts w:hint="eastAsia" w:ascii="宋体" w:cs="宋体" w:hAnsiTheme="minorHAnsi"/>
                <w:kern w:val="0"/>
                <w:szCs w:val="21"/>
              </w:rPr>
              <w:t>指用于实验教学运行、维护经费总值，包括：实验耗材、不列入固定资产登记的小型本科实验教学设备购置、教学设备维修费、本科实验教学资料费等支出。</w:t>
            </w:r>
            <w:r>
              <w:rPr>
                <w:rFonts w:hint="eastAsia" w:ascii="宋体" w:cs="宋体" w:hAnsiTheme="minorHAnsi"/>
                <w:b/>
                <w:kern w:val="0"/>
                <w:szCs w:val="21"/>
              </w:rPr>
              <w:t>（仅指专业基础课、专业课）</w:t>
            </w:r>
          </w:p>
          <w:p>
            <w:pPr>
              <w:autoSpaceDE w:val="false"/>
              <w:autoSpaceDN w:val="false"/>
              <w:adjustRightInd w:val="false"/>
              <w:rPr>
                <w:rFonts w:ascii="宋体" w:hAnsi="宋体" w:cs="仿宋_GB2312"/>
                <w:sz w:val="24"/>
              </w:rPr>
            </w:pPr>
            <w:r>
              <w:rPr>
                <w:rFonts w:hint="eastAsia" w:ascii="宋体" w:cs="宋体" w:hAnsiTheme="minorHAnsi"/>
                <w:b/>
                <w:kern w:val="0"/>
                <w:szCs w:val="21"/>
              </w:rPr>
              <w:t>实习经费支出：</w:t>
            </w:r>
            <w:r>
              <w:rPr>
                <w:rFonts w:hint="eastAsia" w:ascii="宋体" w:cs="宋体" w:hAnsiTheme="minorHAnsi"/>
                <w:kern w:val="0"/>
                <w:szCs w:val="21"/>
              </w:rPr>
              <w:t>指用于本科培养方案内的实习环节支出经费的总值。</w:t>
            </w:r>
          </w:p>
        </w:tc>
      </w:tr>
    </w:tbl>
    <w:p>
      <w:pPr>
        <w:rPr>
          <w:rFonts w:ascii="宋体" w:hAnsi="宋体"/>
        </w:rPr>
      </w:pPr>
    </w:p>
    <w:sectPr>
      <w:pgSz w:w="16838" w:h="11906" w:orient="landscape"/>
      <w:pgMar w:top="1134" w:right="1135" w:bottom="993" w:left="1440" w:header="567" w:footer="567" w:gutter="0"/>
      <w:cols w:space="425" w:num="1"/>
      <w:docGrid w:type="lines" w:linePitch="312" w:charSpace="0"/>
    </w:sectPr>
  </w:body>
</w:document>
</file>

<file path=word/fontTable.xml><?xml version="1.0" encoding="utf-8"?>
<w:fonts xmlns:w="http://schemas.openxmlformats.org/wordprocessingml/2006/main">
  <w:font w:name="黑体">
    <w:panose1 w:val="02010609060101010101"/>
    <w:charset w:val="86" w:characterSet="ISO-8859-1"/>
    <w:family w:val="auto"/>
    <w:pitch w:val="default"/>
    <w:sig w:usb0="800002BF" w:usb1="38CF7CFA" w:usb2="00000016" w:usb3="00000000" w:csb0="00040001" w:csb1="00000000"/>
  </w:font>
  <w:font w:name="Calibri">
    <w:panose1 w:val="020F0502020204030204"/>
    <w:charset w:val="00" w:characterSet="ISO-8859-1"/>
    <w:family w:val="swiss"/>
    <w:pitch w:val="default"/>
    <w:sig w:usb0="E4002EFF" w:usb1="C200247B" w:usb2="00000009" w:usb3="00000000" w:csb0="200001FF" w:csb1="00000000"/>
  </w:font>
  <w:font w:name="宋体">
    <w:panose1 w:val="02010600030101010101"/>
    <w:charset w:val="86" w:characterSet="ISO-8859-1"/>
    <w:family w:val="auto"/>
    <w:pitch w:val="default"/>
    <w:sig w:usb0="00000203" w:usb1="288F0000" w:usb2="00000006" w:usb3="00000000" w:csb0="00040001" w:csb1="00000000"/>
  </w:font>
  <w:font w:name="Arial">
    <w:panose1 w:val="020B0604020202020204"/>
    <w:charset w:val="01" w:characterSet="ISO-8859-1"/>
    <w:family w:val="swiss"/>
    <w:pitch w:val="default"/>
    <w:sig w:usb0="E0002EFF" w:usb1="C000785B" w:usb2="00000009" w:usb3="00000000" w:csb0="400001FF" w:csb1="FFFF0000"/>
  </w:font>
  <w:font w:name="仿宋_GB2312">
    <w:panose1 w:val="02010609030101010101"/>
    <w:charset w:val="86" w:characterSet="ISO-8859-1"/>
    <w:family w:val="modern"/>
    <w:pitch w:val="default"/>
    <w:sig w:usb0="00000001" w:usb1="080E0000" w:usb2="00000000" w:usb3="00000000" w:csb0="00040000" w:csb1="00000000"/>
  </w:font>
  <w:font w:name="Courier New">
    <w:panose1 w:val="02070309020205020404"/>
    <w:charset w:val="01" w:characterSet="ISO-8859-1"/>
    <w:family w:val="modern"/>
    <w:pitch w:val="default"/>
    <w:sig w:usb0="E0002EFF" w:usb1="C0007843" w:usb2="00000009" w:usb3="00000000" w:csb0="400001FF" w:csb1="FFFF0000"/>
  </w:font>
  <w:font w:name="Wingdings">
    <w:panose1 w:val="05000000000000000000"/>
    <w:charset w:val="02" w:characterSet="ISO-8859-1"/>
    <w:family w:val="auto"/>
    <w:pitch w:val="default"/>
    <w:sig w:usb0="00000000" w:usb1="00000000" w:usb2="00000000" w:usb3="00000000" w:csb0="80000000" w:csb1="00000000"/>
  </w:font>
  <w:font w:name="TimesNewRomanPSMT">
    <w:altName w:val="等线"/>
    <w:panose1 w:val="00000000000000000000"/>
    <w:charset w:val="86" w:characterSet="ISO-8859-1"/>
    <w:family w:val="auto"/>
    <w:pitch w:val="default"/>
    <w:sig w:usb0="00000000" w:usb1="00000000" w:usb2="00000010" w:usb3="00000000" w:csb0="00040000" w:csb1="00000000"/>
  </w:font>
  <w:font w:name="Times New Roman">
    <w:panose1 w:val="02020603050405020304"/>
    <w:charset w:val="00" w:characterSet="ISO-8859-1"/>
    <w:family w:val="roman"/>
    <w:pitch w:val="variable"/>
    <w:sig w:usb0="20007A87" w:usb1="80000000" w:usb2="00000008" w:usb3="00000000" w:csb0="000001FF" w:csb1="00000000"/>
  </w:font>
  <w:font w:name="Symbol">
    <w:panose1 w:val="05050102010706020507"/>
    <w:charset w:val="02" w:characterSet="ISO-8859-1"/>
    <w:family w:val="roman"/>
    <w:pitch w:val="default"/>
    <w:sig w:usb0="00000000" w:usb1="00000000" w:usb2="00000000" w:usb3="00000000" w:csb0="80000000" w:csb1="00000000"/>
  </w:font>
</w:fonts>
</file>

<file path=word/numbering.xml><?xml version="1.0" encoding="utf-8"?>
<w:numbering xmlns:w="http://schemas.openxmlformats.org/wordprocessingml/2006/main">
  <w:abstractNum w:abstractNumId="1">
    <w:nsid w:val="8A9315DA"/>
    <w:multiLevelType w:val="singleLevel"/>
    <w:tmpl w:val="8A9315DA"/>
    <w:lvl w:ilvl="0" w:tentative="false">
      <w:start w:val="1"/>
      <w:numFmt w:val="decimal"/>
      <w:lvlText w:val="%1."/>
      <w:lvlJc w:val="left"/>
      <w:pPr>
        <w:tabs>
          <w:tab w:val="left" w:pos="312"/>
        </w:tabs>
      </w:pPr>
    </w:lvl>
  </w:abstractNum>
  <w:abstractNum w:abstractNumId="2">
    <w:lvl w:ilvl="4">
      <w:start w:val="1"/>
      <w:numFmt w:val="lowerLetter"/>
      <w:lvlText w:val="%5."/>
      <w:lvlJc w:val="left"/>
      <w:pPr>
        <w:ind w:left="2016" w:hanging="336"/>
      </w:pPr>
    </w:lvl>
    <w:lvl w:ilvl="3">
      <w:start w:val="1"/>
      <w:numFmt w:val="decimal"/>
      <w:lvlText w:val="%4."/>
      <w:lvlJc w:val="left"/>
      <w:pPr>
        <w:ind w:left="1596" w:hanging="336"/>
      </w:pPr>
    </w:lvl>
    <w:lvl w:ilvl="0">
      <w:start w:val="2"/>
      <w:numFmt w:val="decimal"/>
      <w:lvlText w:val="%1."/>
      <w:lvlJc w:val="left"/>
      <w:pPr>
        <w:ind w:left="336" w:hanging="336"/>
      </w:pPr>
      <w:rPr/>
    </w:lvl>
    <w:lvl w:ilvl="7">
      <w:start w:val="1"/>
      <w:numFmt w:val="lowerLetter"/>
      <w:lvlText w:val="%8."/>
      <w:lvlJc w:val="left"/>
      <w:pPr>
        <w:ind w:left="3276" w:hanging="336"/>
      </w:pPr>
    </w:lvl>
    <w:lvl w:ilvl="5">
      <w:start w:val="1"/>
      <w:numFmt w:val="lowerRoman"/>
      <w:lvlText w:val="%6."/>
      <w:lvlJc w:val="left"/>
      <w:pPr>
        <w:ind w:left="2436" w:hanging="336"/>
      </w:pPr>
    </w:lvl>
    <w:lvl w:ilvl="8">
      <w:start w:val="1"/>
      <w:numFmt w:val="lowerRoman"/>
      <w:lvlText w:val="%9."/>
      <w:lvlJc w:val="left"/>
      <w:pPr>
        <w:ind w:left="3696" w:hanging="336"/>
      </w:pPr>
    </w:lvl>
    <w:lvl w:ilvl="1">
      <w:start w:val="1"/>
      <w:numFmt w:val="lowerLetter"/>
      <w:lvlText w:val="%2."/>
      <w:lvlJc w:val="left"/>
      <w:pPr>
        <w:ind w:left="756" w:hanging="336"/>
      </w:pPr>
    </w:lvl>
    <w:lvl w:ilvl="6">
      <w:start w:val="1"/>
      <w:numFmt w:val="decimal"/>
      <w:lvlText w:val="%7."/>
      <w:lvlJc w:val="left"/>
      <w:pPr>
        <w:ind w:left="2856" w:hanging="336"/>
      </w:pPr>
    </w:lvl>
    <w:lvl w:ilvl="2">
      <w:start w:val="1"/>
      <w:numFmt w:val="lowerRoman"/>
      <w:lvlText w:val="%3."/>
      <w:lvlJc w:val="left"/>
      <w:pPr>
        <w:ind w:left="1176" w:hanging="336"/>
      </w:pPr>
    </w:lvl>
  </w:abstractNum>
  <w:num w:numId="1">
    <w:abstractNumId w:val="1"/>
  </w:num>
  <w:num w:numId="2">
    <w:abstractNumId w:val="2"/>
  </w:num>
</w:numbering>
</file>

<file path=word/settings.xml><?xml version="1.0" encoding="utf-8"?>
<w:settings xmlns:w="http://schemas.openxmlformats.org/wordprocessingml/2006/main">
  <w:zoom w:percent="100"/>
  <w:bordersDoNotSurroundHeader w:val="false"/>
  <w:bordersDoNotSurroundFooter w:val="false"/>
  <w:documentProtection w:enforcement="false"/>
  <w:defaultTabStop w:val="420"/>
  <w:drawingGridHorizontalSpacing w:val="105"/>
  <w:drawingGridVerticalSpacing w:val="156"/>
  <w:displayHorizontalDrawingGridEvery w:val="1"/>
  <w:displayVerticalDrawingGridEvery w:val="1"/>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differentiateMultirowTableHeaders" w:uri="http://schemas.microsoft.com/office/word" w:val="1"/>
    <w:compatSetting w:name="doNotFlipMirrorIndents" w:uri="http://schemas.microsoft.com/office/word" w:val="1"/>
    <w:compatSetting w:name="enableOpenTypeFeatures" w:uri="http://schemas.microsoft.com/office/word" w:val="1"/>
    <w:compatSetting w:name="overrideTableStyleFontSizeAndJustification" w:uri="http://schemas.microsoft.com/office/word" w:val="1"/>
  </w:compat>
  <w:docVars>
    <w:docVar w:name="commondata" w:val="eyJoZGlkIjoiMTFlNzc0NWRiMzE4NjdlMmU5Y2I4MTY4NmExMzYyMjAifQ=="/>
  </w:docVars>
  <w:rsids>
    <w:rsidRoot w:val="00055FFF"/>
    <w:rsid w:val="0001234C"/>
    <w:rsid w:val="000345A6"/>
    <w:rsid w:val="00055FFF"/>
    <w:rsid w:val="00083B52"/>
    <w:rsid w:val="000C6A39"/>
    <w:rsid w:val="000D2117"/>
    <w:rsid w:val="000E6DE7"/>
    <w:rsid w:val="001D43B1"/>
    <w:rsid w:val="00277F2B"/>
    <w:rsid w:val="00293806"/>
    <w:rsid w:val="00293E59"/>
    <w:rsid w:val="002E4EB1"/>
    <w:rsid w:val="00333E31"/>
    <w:rsid w:val="003922BF"/>
    <w:rsid w:val="00393D2C"/>
    <w:rsid w:val="00412BBC"/>
    <w:rsid w:val="0042043D"/>
    <w:rsid w:val="00432CB7"/>
    <w:rsid w:val="0044094C"/>
    <w:rsid w:val="004478CF"/>
    <w:rsid w:val="00453752"/>
    <w:rsid w:val="00465879"/>
    <w:rsid w:val="004E0194"/>
    <w:rsid w:val="00507708"/>
    <w:rsid w:val="00550161"/>
    <w:rsid w:val="005B5A9E"/>
    <w:rsid w:val="005C3E70"/>
    <w:rsid w:val="006B35FB"/>
    <w:rsid w:val="006D11BA"/>
    <w:rsid w:val="00701EAF"/>
    <w:rsid w:val="0070520B"/>
    <w:rsid w:val="00772659"/>
    <w:rsid w:val="00795F19"/>
    <w:rsid w:val="00801AE8"/>
    <w:rsid w:val="008B1E61"/>
    <w:rsid w:val="008B5AD3"/>
    <w:rsid w:val="008F38D5"/>
    <w:rsid w:val="00923440"/>
    <w:rsid w:val="00931CDA"/>
    <w:rsid w:val="00946D1C"/>
    <w:rsid w:val="009A5EC6"/>
    <w:rsid w:val="009A7760"/>
    <w:rsid w:val="009C5FAA"/>
    <w:rsid w:val="00A21BB6"/>
    <w:rsid w:val="00A318C5"/>
    <w:rsid w:val="00A4599D"/>
    <w:rsid w:val="00A6065D"/>
    <w:rsid w:val="00A72A55"/>
    <w:rsid w:val="00A72BC2"/>
    <w:rsid w:val="00A95C11"/>
    <w:rsid w:val="00AC1C40"/>
    <w:rsid w:val="00B04ECD"/>
    <w:rsid w:val="00B93D10"/>
    <w:rsid w:val="00B9567F"/>
    <w:rsid w:val="00CA03C4"/>
    <w:rsid w:val="00CA6299"/>
    <w:rsid w:val="00CB22A9"/>
    <w:rsid w:val="00CC510E"/>
    <w:rsid w:val="00D17A3F"/>
    <w:rsid w:val="00DA7256"/>
    <w:rsid w:val="00DB5F56"/>
    <w:rsid w:val="00DB7DD2"/>
    <w:rsid w:val="00DF7EB8"/>
    <w:rsid w:val="00EA7328"/>
    <w:rsid w:val="00EF2E8C"/>
    <w:rsid w:val="00F7593E"/>
    <w:rsid w:val="00FD23A0"/>
    <w:rsid w:val="00FE3FBA"/>
    <w:rsid w:val="041F0C94"/>
    <w:rsid w:val="0881724A"/>
    <w:rsid w:val="0B390CF5"/>
    <w:rsid w:val="0DB16D38"/>
    <w:rsid w:val="21D05CA6"/>
    <w:rsid w:val="25900B5C"/>
    <w:rsid w:val="2C8170BA"/>
    <w:rsid w:val="333E73E7"/>
    <w:rsid w:val="353B17E6"/>
    <w:rsid w:val="459E52F5"/>
    <w:rsid w:val="484F25B3"/>
    <w:rsid w:val="4B862988"/>
    <w:rsid w:val="505C76D9"/>
    <w:rsid w:val="5BE24AE6"/>
    <w:rsid w:val="5E974EB3"/>
    <w:rsid w:val="5EBB452B"/>
    <w:rsid w:val="60EF0D31"/>
    <w:rsid w:val="6DDB596B"/>
    <w:rsid w:val="75F121AB"/>
    <w:rsid w:val="7F567798"/>
  </w:rsid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w:docDefaults>
    <w:rPrDefault>
      <w:rPr>
        <w:rFonts w:ascii="Times New Roman" w:hAnsi="Times New Roman" w:eastAsia="宋体" w:cs="Times New Roman"/>
      </w:rPr>
    </w:rPrDefault>
    <w:pPrDefault>
      <w:pPr/>
    </w:pPrDefault>
  </w:docDefaults>
  <w:latentStyles w:defLockedState="false" w:defUIPriority="99" w:defSemiHidden="true" w:defUnhideWhenUsed="true" w:defQFormat="false" w:count="260">
    <w:lsdException w:name="Medium Shading 1 Accent 5" w:uiPriority="63" w:semiHidden="false" w:unhideWhenUsed="false"/>
    <w:lsdException w:name="Light Shading Accent 3" w:uiPriority="60" w:semiHidden="false" w:unhideWhenUsed="false"/>
    <w:lsdException w:name="List Number" w:uiPriority="99"/>
    <w:lsdException w:name="HTML Acronym" w:uiPriority="99"/>
    <w:lsdException w:name="Table Web 1" w:uiPriority="99"/>
    <w:lsdException w:name="List Bullet 5" w:uiPriority="99"/>
    <w:lsdException w:name="Normal (Web)" w:uiPriority="99"/>
    <w:lsdException w:name="Medium Shading 1 Accent 2" w:uiPriority="63" w:semiHidden="false" w:unhideWhenUsed="false"/>
    <w:lsdException w:name="Medium List 2 Accent 2" w:uiPriority="66" w:semiHidden="false" w:unhideWhenUsed="false"/>
    <w:lsdException w:name="Block Text" w:uiPriority="99"/>
    <w:lsdException w:name="Medium Shading 1 Accent 4" w:uiPriority="63" w:semiHidden="false" w:unhideWhenUsed="false"/>
    <w:lsdException w:name="footer" w:uiPriority="99" w:semiHidden="false" w:qFormat="true"/>
    <w:lsdException w:name="envelope return" w:uiPriority="99"/>
    <w:lsdException w:name="Body Text 2" w:uiPriority="99"/>
    <w:lsdException w:name="heading 4" w:uiPriority="9" w:qFormat="true"/>
    <w:lsdException w:name="Table Grid 6" w:uiPriority="99"/>
    <w:lsdException w:name="Colorful Shading Accent 3" w:uiPriority="71" w:semiHidden="false" w:unhideWhenUsed="false"/>
    <w:lsdException w:name="Medium Grid 1" w:uiPriority="67" w:semiHidden="false" w:unhideWhenUsed="false"/>
    <w:lsdException w:name="toc 2" w:uiPriority="39"/>
    <w:lsdException w:name="Table List 5" w:uiPriority="99"/>
    <w:lsdException w:name="toc 7" w:uiPriority="39"/>
    <w:lsdException w:name="Medium Shading 1" w:uiPriority="63" w:semiHidden="false" w:unhideWhenUsed="false"/>
    <w:lsdException w:name="Table Web 3" w:uiPriority="99"/>
    <w:lsdException w:name="Table List 7" w:uiPriority="99"/>
    <w:lsdException w:name="Colorful Grid Accent 2" w:uiPriority="73" w:semiHidden="false" w:unhideWhenUsed="false"/>
    <w:lsdException w:name="toc 6" w:uiPriority="39"/>
    <w:lsdException w:name="Table List 4" w:uiPriority="99"/>
    <w:lsdException w:name="Table 3D effects 1" w:uiPriority="99"/>
    <w:lsdException w:name="table of authorities" w:uiPriority="99"/>
    <w:lsdException w:name="Medium Grid 3 Accent 3" w:uiPriority="69" w:semiHidden="false" w:unhideWhenUsed="false"/>
    <w:lsdException w:name="Medium List 2 Accent 6" w:uiPriority="66" w:semiHidden="false" w:unhideWhenUsed="false"/>
    <w:lsdException w:name="Dark List" w:uiPriority="70" w:semiHidden="false" w:unhideWhenUsed="false"/>
    <w:lsdException w:name="Table Columns 2" w:uiPriority="99"/>
    <w:lsdException w:name="E-mail Signature" w:uiPriority="99"/>
    <w:lsdException w:name="index heading" w:uiPriority="99"/>
    <w:lsdException w:name="Colorful Shading" w:uiPriority="71" w:semiHidden="false" w:unhideWhenUsed="false"/>
    <w:lsdException w:name="Light Shading Accent 5" w:uiPriority="60" w:semiHidden="false" w:unhideWhenUsed="false"/>
    <w:lsdException w:name="toc 1" w:uiPriority="39"/>
    <w:lsdException w:name="Colorful Grid Accent 1" w:uiPriority="73" w:semiHidden="false" w:unhideWhenUsed="false"/>
    <w:lsdException w:name="Plain Text" w:uiPriority="99"/>
    <w:lsdException w:name="Medium Shading 2 Accent 4" w:uiPriority="64" w:semiHidden="false" w:unhideWhenUsed="false"/>
    <w:lsdException w:name="List Number 2" w:uiPriority="99"/>
    <w:lsdException w:name="Medium List 2 Accent 4" w:uiPriority="66" w:semiHidden="false" w:unhideWhenUsed="false"/>
    <w:lsdException w:name="Colorful List Accent 1" w:uiPriority="72" w:semiHidden="false" w:unhideWhenUsed="false"/>
    <w:lsdException w:name="toc 9" w:uiPriority="39"/>
    <w:lsdException w:name="Light Grid" w:uiPriority="62" w:semiHidden="false" w:unhideWhenUsed="false"/>
    <w:lsdException w:name="Table 3D effects 3" w:uiPriority="99"/>
    <w:lsdException w:name="index 1" w:uiPriority="99"/>
    <w:lsdException w:name="footnote text" w:uiPriority="99"/>
    <w:lsdException w:name="Table Columns 4" w:uiPriority="99"/>
    <w:lsdException w:name="Dark List Accent 1" w:uiPriority="70" w:semiHidden="false" w:unhideWhenUsed="false"/>
    <w:lsdException w:name="Table List 1" w:uiPriority="99"/>
    <w:lsdException w:name="Medium List 2" w:uiPriority="66" w:semiHidden="false" w:unhideWhenUsed="false"/>
    <w:lsdException w:name="Strong" w:uiPriority="22" w:semiHidden="false" w:unhideWhenUsed="false" w:qFormat="true"/>
    <w:lsdException w:name="HTML Code" w:uiPriority="99"/>
    <w:lsdException w:name="Table Colorful 1" w:uiPriority="99"/>
    <w:lsdException w:name="Table Classic 1" w:uiPriority="99"/>
    <w:lsdException w:name="Medium List 1 Accent 1" w:uiPriority="65" w:semiHidden="false" w:unhideWhenUsed="false"/>
    <w:lsdException w:name="Medium Grid 2 Accent 1" w:uiPriority="68" w:semiHidden="false" w:unhideWhenUsed="false"/>
    <w:lsdException w:name="Light List Accent 4" w:uiPriority="61" w:semiHidden="false" w:unhideWhenUsed="false"/>
    <w:lsdException w:name="Table Grid 7" w:uiPriority="99"/>
    <w:lsdException w:name="List Number 4" w:uiPriority="99"/>
    <w:lsdException w:name="Emphasis" w:uiPriority="20" w:semiHidden="false" w:unhideWhenUsed="false" w:qFormat="true"/>
    <w:lsdException w:name="Colorful List" w:uiPriority="72" w:semiHidden="false" w:unhideWhenUsed="false"/>
    <w:lsdException w:name="Light Shading" w:uiPriority="60" w:semiHidden="false" w:unhideWhenUsed="false"/>
    <w:lsdException w:name="Medium Grid 3 Accent 6" w:uiPriority="69" w:semiHidden="false" w:unhideWhenUsed="false"/>
    <w:lsdException w:name="Date" w:uiPriority="99"/>
    <w:lsdException w:name="Medium Grid 1 Accent 1" w:uiPriority="67" w:semiHidden="false" w:unhideWhenUsed="false"/>
    <w:lsdException w:name="Dark List Accent 6" w:uiPriority="70" w:semiHidden="false" w:unhideWhenUsed="false"/>
    <w:lsdException w:name="Table Theme" w:uiPriority="99"/>
    <w:lsdException w:name="Colorful List Accent 3" w:uiPriority="72" w:semiHidden="false" w:unhideWhenUsed="false"/>
    <w:lsdException w:name="Medium Shading 1 Accent 1" w:uiPriority="63" w:semiHidden="false" w:unhideWhenUsed="false"/>
    <w:lsdException w:name="Table Colorful 3" w:uiPriority="99"/>
    <w:lsdException w:name="Normal Table" w:uiPriority="99"/>
    <w:lsdException w:name="Title" w:uiPriority="10" w:semiHidden="false" w:unhideWhenUsed="false" w:qFormat="true"/>
    <w:lsdException w:name="Table Subtle 1" w:uiPriority="99"/>
    <w:lsdException w:name="Medium Grid 2" w:uiPriority="68" w:semiHidden="false" w:unhideWhenUsed="false"/>
    <w:lsdException w:name="annotation text" w:uiPriority="99"/>
    <w:lsdException w:name="Body Text Indent 3" w:uiPriority="99"/>
    <w:lsdException w:name="HTML Cite" w:uiPriority="99"/>
    <w:lsdException w:name="endnote reference" w:uiPriority="99"/>
    <w:lsdException w:name="Colorful Grid Accent 5" w:uiPriority="73" w:semiHidden="false" w:unhideWhenUsed="false"/>
    <w:lsdException w:name="Dark List Accent 2" w:uiPriority="70" w:semiHidden="false" w:unhideWhenUsed="false"/>
    <w:lsdException w:name="Table Grid 1" w:uiPriority="99"/>
    <w:lsdException w:name="Colorful Shading Accent 1" w:uiPriority="71" w:semiHidden="false" w:unhideWhenUsed="false"/>
    <w:lsdException w:name="Medium Grid 2 Accent 5" w:uiPriority="68" w:semiHidden="false" w:unhideWhenUsed="false"/>
    <w:lsdException w:name="annotation reference" w:uiPriority="99"/>
    <w:lsdException w:name="Colorful Grid" w:uiPriority="73" w:semiHidden="false" w:unhideWhenUsed="false"/>
    <w:lsdException w:name="Medium Grid 1 Accent 3" w:uiPriority="67" w:semiHidden="false" w:unhideWhenUsed="false"/>
    <w:lsdException w:name="Medium List 2 Accent 5" w:uiPriority="66" w:semiHidden="false" w:unhideWhenUsed="false"/>
    <w:lsdException w:name="toc 4" w:uiPriority="39"/>
    <w:lsdException w:name="Body Text 3" w:uiPriority="99"/>
    <w:lsdException w:name="Medium Grid 1 Accent 2" w:uiPriority="67" w:semiHidden="false" w:unhideWhenUsed="false"/>
    <w:lsdException w:name="Light List" w:uiPriority="61" w:semiHidden="false" w:unhideWhenUsed="false"/>
    <w:lsdException w:name="Medium Grid 2 Accent 4" w:uiPriority="68" w:semiHidden="false" w:unhideWhenUsed="false"/>
    <w:lsdException w:name="Dark List Accent 3" w:uiPriority="70" w:semiHidden="false" w:unhideWhenUsed="false"/>
    <w:lsdException w:name="Light Grid Accent 2" w:uiPriority="62" w:semiHidden="false" w:unhideWhenUsed="false"/>
    <w:lsdException w:name="table of figures" w:uiPriority="99"/>
    <w:lsdException w:name="Light Grid Accent 5" w:uiPriority="62" w:semiHidden="false" w:unhideWhenUsed="false"/>
    <w:lsdException w:name="Medium List 1 Accent 3" w:uiPriority="65" w:semiHidden="false" w:unhideWhenUsed="false"/>
    <w:lsdException w:name="Light List Accent 3" w:uiPriority="61" w:semiHidden="false" w:unhideWhenUsed="false"/>
    <w:lsdException w:name="Medium Grid 3 Accent 1" w:uiPriority="69" w:semiHidden="false" w:unhideWhenUsed="false"/>
    <w:lsdException w:name="Normal" w:uiPriority="0" w:semiHidden="false" w:unhideWhenUsed="false" w:qFormat="true"/>
    <w:lsdException w:name="toa heading" w:uiPriority="99"/>
    <w:lsdException w:name="Normal Indent" w:uiPriority="99"/>
    <w:lsdException w:name="heading 2" w:uiPriority="9" w:qFormat="true"/>
    <w:lsdException w:name="Table Columns 1" w:uiPriority="99"/>
    <w:lsdException w:name="List" w:uiPriority="99"/>
    <w:lsdException w:name="Colorful Shading Accent 2" w:uiPriority="71" w:semiHidden="false" w:unhideWhenUsed="false"/>
    <w:lsdException w:name="List Bullet 3" w:uiPriority="99"/>
    <w:lsdException w:name="Table List 6" w:uiPriority="99"/>
    <w:lsdException w:name="Body Text" w:uiPriority="99"/>
    <w:lsdException w:name="List Bullet 2" w:uiPriority="99"/>
    <w:lsdException w:name="heading 1" w:uiPriority="9" w:semiHidden="false" w:unhideWhenUsed="false" w:qFormat="true"/>
    <w:lsdException w:name="Medium Shading 2 Accent 3" w:uiPriority="64" w:semiHidden="false" w:unhideWhenUsed="false"/>
    <w:lsdException w:name="List Bullet" w:uiPriority="99"/>
    <w:lsdException w:name="Table Classic 3" w:uiPriority="99"/>
    <w:lsdException w:name="Colorful Shading Accent 5" w:uiPriority="71" w:semiHidden="false" w:unhideWhenUsed="false"/>
    <w:lsdException w:name="Table Elegant" w:uiPriority="99"/>
    <w:lsdException w:name="Colorful List Accent 2" w:uiPriority="72" w:semiHidden="false" w:unhideWhenUsed="false"/>
    <w:lsdException w:name="Light Shading Accent 1" w:uiPriority="60" w:semiHidden="false" w:unhideWhenUsed="false"/>
    <w:lsdException w:name="Table List 3" w:uiPriority="99"/>
    <w:lsdException w:name="Table Grid 2" w:uiPriority="99"/>
    <w:lsdException w:name="index 7" w:uiPriority="99"/>
    <w:lsdException w:name="List 3" w:uiPriority="99"/>
    <w:lsdException w:name="Medium Shading 2 Accent 6" w:uiPriority="64" w:semiHidden="false" w:unhideWhenUsed="false"/>
    <w:lsdException w:name="List Bullet 4" w:uiPriority="99"/>
    <w:lsdException w:name="Medium Grid 1 Accent 4" w:uiPriority="67" w:semiHidden="false" w:unhideWhenUsed="false"/>
    <w:lsdException w:name="heading 5" w:uiPriority="9" w:qFormat="true"/>
    <w:lsdException w:name="Medium Shading 2 Accent 1" w:uiPriority="64" w:semiHidden="false" w:unhideWhenUsed="false"/>
    <w:lsdException w:name="Table Web 2" w:uiPriority="99"/>
    <w:lsdException w:name="Salutation" w:uiPriority="99"/>
    <w:lsdException w:name="Table List 8" w:uiPriority="99"/>
    <w:lsdException w:name="List Number 5" w:uiPriority="99"/>
    <w:lsdException w:name="heading 6" w:uiPriority="9" w:qFormat="true"/>
    <w:lsdException w:name="Medium Shading 2 Accent 5" w:uiPriority="64" w:semiHidden="false" w:unhideWhenUsed="false"/>
    <w:lsdException w:name="List Paragraph" w:uiPriority="34" w:semiHidden="false" w:unhideWhenUsed="false" w:qFormat="true"/>
    <w:lsdException w:name="Light Grid Accent 3" w:uiPriority="62" w:semiHidden="false" w:unhideWhenUsed="false"/>
    <w:lsdException w:name="endnote text" w:uiPriority="99"/>
    <w:lsdException w:name="HTML Keyboard" w:uiPriority="99"/>
    <w:lsdException w:name="caption" w:uiPriority="35" w:qFormat="true"/>
    <w:lsdException w:name="List 5" w:uiPriority="99"/>
    <w:lsdException w:name="Signature" w:uiPriority="99"/>
    <w:lsdException w:name="FollowedHyperlink" w:uiPriority="99"/>
    <w:lsdException w:name="Table Columns 3" w:uiPriority="99"/>
    <w:lsdException w:name="Medium Grid 2 Accent 6" w:uiPriority="68" w:semiHidden="false" w:unhideWhenUsed="false"/>
    <w:lsdException w:name="Medium Shading 2 Accent 2" w:uiPriority="64" w:semiHidden="false" w:unhideWhenUsed="false"/>
    <w:lsdException w:name="Table Classic 4" w:uiPriority="99"/>
    <w:lsdException w:name="Body Text First Indent" w:uiPriority="99"/>
    <w:lsdException w:name="index 6" w:uiPriority="99"/>
    <w:lsdException w:name="Medium List 2 Accent 3" w:uiPriority="66" w:semiHidden="false" w:unhideWhenUsed="false"/>
    <w:lsdException w:name="HTML Preformatted" w:uiPriority="99"/>
    <w:lsdException w:name="Light List Accent 5" w:uiPriority="61" w:semiHidden="false" w:unhideWhenUsed="false"/>
    <w:lsdException w:name="Light Shading Accent 4" w:uiPriority="60" w:semiHidden="false" w:unhideWhenUsed="false"/>
    <w:lsdException w:name="Colorful Shading Accent 4" w:uiPriority="71" w:semiHidden="false" w:unhideWhenUsed="false"/>
    <w:lsdException w:name="Table Simple 2" w:uiPriority="99"/>
    <w:lsdException w:name="Medium Grid 2 Accent 3" w:uiPriority="68" w:semiHidden="false" w:unhideWhenUsed="false"/>
    <w:lsdException w:name="Colorful Shading Accent 6" w:uiPriority="71" w:semiHidden="false" w:unhideWhenUsed="false"/>
    <w:lsdException w:name="macro" w:uiPriority="99"/>
    <w:lsdException w:name="Colorful List Accent 6" w:uiPriority="72" w:semiHidden="false" w:unhideWhenUsed="false"/>
    <w:lsdException w:name="HTML Variable" w:uiPriority="99"/>
    <w:lsdException w:name="Table Grid 5" w:uiPriority="99"/>
    <w:lsdException w:name="index 4" w:uiPriority="99"/>
    <w:lsdException w:name="Colorful Grid Accent 3" w:uiPriority="73" w:semiHidden="false" w:unhideWhenUsed="false"/>
    <w:lsdException w:name="Light List Accent 2" w:uiPriority="61" w:semiHidden="false" w:unhideWhenUsed="false"/>
    <w:lsdException w:name="List Continue 4" w:uiPriority="99"/>
    <w:lsdException w:name="Medium List 1 Accent 4" w:uiPriority="65" w:semiHidden="false" w:unhideWhenUsed="false"/>
    <w:lsdException w:name="toc 8" w:uiPriority="39"/>
    <w:lsdException w:name="Medium Grid 2 Accent 2" w:uiPriority="68" w:semiHidden="false" w:unhideWhenUsed="false"/>
    <w:lsdException w:name="HTML Definition" w:uiPriority="99"/>
    <w:lsdException w:name="List Continue" w:uiPriority="99"/>
    <w:lsdException w:name="header" w:uiPriority="99" w:semiHidden="false" w:qFormat="true"/>
    <w:lsdException w:name="Table Professional" w:uiPriority="99"/>
    <w:lsdException w:name="Medium Grid 3 Accent 2" w:uiPriority="69" w:semiHidden="false" w:unhideWhenUsed="false"/>
    <w:lsdException w:name="Table Classic 2" w:uiPriority="99"/>
    <w:lsdException w:name="line number" w:uiPriority="99"/>
    <w:lsdException w:name="Medium List 1 Accent 5" w:uiPriority="65" w:semiHidden="false" w:unhideWhenUsed="false"/>
    <w:lsdException w:name="Body Text Indent" w:uiPriority="99"/>
    <w:lsdException w:name="Medium Shading 2" w:uiPriority="64" w:semiHidden="false" w:unhideWhenUsed="false"/>
    <w:lsdException w:name="Medium List 1 Accent 6" w:uiPriority="65" w:semiHidden="false" w:unhideWhenUsed="false"/>
    <w:lsdException w:name="heading 7" w:uiPriority="9" w:qFormat="true"/>
    <w:lsdException w:name="Subtitle" w:uiPriority="11" w:semiHidden="false" w:unhideWhenUsed="false" w:qFormat="true"/>
    <w:lsdException w:name="Medium Grid 1 Accent 5" w:uiPriority="67" w:semiHidden="false" w:unhideWhenUsed="false"/>
    <w:lsdException w:name="heading 8" w:uiPriority="9" w:qFormat="true"/>
    <w:lsdException w:name="Table List 2" w:uiPriority="99"/>
    <w:lsdException w:name="heading 9" w:uiPriority="9" w:qFormat="true"/>
    <w:lsdException w:name="Table Grid" w:uiPriority="59" w:semiHidden="false" w:unhideWhenUsed="false"/>
    <w:lsdException w:name="Medium Shading 1 Accent 3" w:uiPriority="63" w:semiHidden="false" w:unhideWhenUsed="false"/>
    <w:lsdException w:name="Light Grid Accent 6" w:uiPriority="62" w:semiHidden="false" w:unhideWhenUsed="false"/>
    <w:lsdException w:name="Light Grid Accent 1" w:uiPriority="62" w:semiHidden="false" w:unhideWhenUsed="false"/>
    <w:lsdException w:name="Medium Grid 3 Accent 4" w:uiPriority="69" w:semiHidden="false" w:unhideWhenUsed="false"/>
    <w:lsdException w:name="Table 3D effects 2" w:uiPriority="99"/>
    <w:lsdException w:name="List Continue 3" w:uiPriority="99"/>
    <w:lsdException w:name="Light Shading Accent 6" w:uiPriority="60" w:semiHidden="false" w:unhideWhenUsed="false"/>
    <w:lsdException w:name="index 5" w:uiPriority="99"/>
    <w:lsdException w:name="annotation subject" w:uiPriority="99"/>
    <w:lsdException w:name="index 3" w:uiPriority="99"/>
    <w:lsdException w:name="index 2" w:uiPriority="99"/>
    <w:lsdException w:name="Light List Accent 1" w:uiPriority="61" w:semiHidden="false" w:unhideWhenUsed="false"/>
    <w:lsdException w:name="index 8" w:uiPriority="99"/>
    <w:lsdException w:name="Colorful Grid Accent 6" w:uiPriority="73" w:semiHidden="false" w:unhideWhenUsed="false"/>
    <w:lsdException w:name="Table Columns 5" w:uiPriority="99"/>
    <w:lsdException w:name="Dark List Accent 5" w:uiPriority="70" w:semiHidden="false" w:unhideWhenUsed="false"/>
    <w:lsdException w:name="Light Grid Accent 4" w:uiPriority="62" w:semiHidden="false" w:unhideWhenUsed="false"/>
    <w:lsdException w:name="Default Paragraph Font" w:uiPriority="1" w:qFormat="true"/>
    <w:lsdException w:name="HTML Address" w:uiPriority="99"/>
    <w:lsdException w:name="Medium Shading 1 Accent 6" w:uiPriority="63" w:semiHidden="false" w:unhideWhenUsed="false"/>
    <w:lsdException w:name="Medium List 1 Accent 2" w:uiPriority="65" w:semiHidden="false" w:unhideWhenUsed="false"/>
    <w:lsdException w:name="List Number 3" w:uiPriority="99"/>
    <w:lsdException w:name="Message Header" w:uiPriority="99"/>
    <w:lsdException w:name="Dark List Accent 4" w:uiPriority="70" w:semiHidden="false" w:unhideWhenUsed="false"/>
    <w:lsdException w:name="HTML Typewriter" w:uiPriority="99"/>
    <w:lsdException w:name="Colorful Grid Accent 4" w:uiPriority="73" w:semiHidden="false" w:unhideWhenUsed="false"/>
    <w:lsdException w:name="Closing" w:uiPriority="99"/>
    <w:lsdException w:name="toc 3" w:uiPriority="39"/>
    <w:lsdException w:name="Body Text First Indent 2" w:uiPriority="99"/>
    <w:lsdException w:name="Medium List 1" w:uiPriority="65" w:semiHidden="false" w:unhideWhenUsed="false"/>
    <w:lsdException w:name="Medium Grid 3 Accent 5" w:uiPriority="69" w:semiHidden="false" w:unhideWhenUsed="false"/>
    <w:lsdException w:name="List Continue 5" w:uiPriority="99"/>
    <w:lsdException w:name="Table Simple 3" w:uiPriority="99"/>
    <w:lsdException w:name="Hyperlink" w:uiPriority="99" w:qFormat="true"/>
    <w:lsdException w:name="toc 5" w:uiPriority="39"/>
    <w:lsdException w:name="Table Colorful 2" w:uiPriority="99"/>
    <w:lsdException w:name="index 9" w:uiPriority="99"/>
    <w:lsdException w:name="List Continue 2" w:uiPriority="99"/>
    <w:lsdException w:name="Document Map" w:uiPriority="99"/>
    <w:lsdException w:name="Table Simple 1" w:uiPriority="99"/>
    <w:lsdException w:name="Table Contemporary" w:uiPriority="99"/>
    <w:lsdException w:name="Colorful List Accent 5" w:uiPriority="72" w:semiHidden="false" w:unhideWhenUsed="false"/>
    <w:lsdException w:name="Medium Grid 3" w:uiPriority="69" w:semiHidden="false" w:unhideWhenUsed="false"/>
    <w:lsdException w:name="HTML Sample" w:uiPriority="99"/>
    <w:lsdException w:name="heading 3" w:uiPriority="9" w:qFormat="true"/>
    <w:lsdException w:name="page number" w:uiPriority="99"/>
    <w:lsdException w:name="Medium Grid 1 Accent 6" w:uiPriority="67" w:semiHidden="false" w:unhideWhenUsed="false"/>
    <w:lsdException w:name="Table Grid 3" w:uiPriority="99"/>
    <w:lsdException w:name="footnote reference" w:uiPriority="99"/>
    <w:lsdException w:name="Note Heading" w:uiPriority="99"/>
    <w:lsdException w:name="List 2" w:uiPriority="99"/>
    <w:lsdException w:name="Medium List 2 Accent 1" w:uiPriority="66" w:semiHidden="false" w:unhideWhenUsed="false"/>
    <w:lsdException w:name="Balloon Text" w:uiPriority="99"/>
    <w:lsdException w:name="envelope address" w:uiPriority="99"/>
    <w:lsdException w:name="List 4" w:uiPriority="99"/>
    <w:lsdException w:name="Light List Accent 6" w:uiPriority="61" w:semiHidden="false" w:unhideWhenUsed="false"/>
    <w:lsdException w:name="Table Subtle 2" w:uiPriority="99"/>
    <w:lsdException w:name="Table Grid 8" w:uiPriority="99"/>
    <w:lsdException w:name="Table Grid 4" w:uiPriority="99"/>
    <w:lsdException w:name="Body Text Indent 2" w:uiPriority="99"/>
    <w:lsdException w:name="Light Shading Accent 2" w:uiPriority="60" w:semiHidden="false" w:unhideWhenUsed="false"/>
    <w:lsdException w:name="Colorful List Accent 4" w:uiPriority="72" w:semiHidden="false" w:unhideWhenUsed="false"/>
  </w:latentStyles>
  <w:style w:type="paragraph" w:styleId="00000c">
    <w:name w:val="List Paragraph"/>
    <w:basedOn w:val="000003"/>
    <w:uiPriority w:val="34"/>
    <w:qFormat/>
    <w:pPr>
      <w:ind w:firstLine="420" w:firstLineChars="200"/>
    </w:pPr>
  </w:style>
  <w:style w:type="character" w:styleId="00000e" w:customStyle="true">
    <w:name w:val="font71"/>
    <w:basedOn w:val="000004"/>
    <w:uiPriority w:val="0"/>
    <w:qFormat/>
    <w:rPr>
      <w:rFonts w:hint="eastAsia" w:ascii="宋体" w:hAnsi="宋体" w:eastAsia="宋体" w:cs="宋体"/>
      <w:color w:val="FF0000"/>
      <w:sz w:val="20"/>
      <w:szCs w:val="20"/>
      <w:u w:val="none"/>
    </w:rPr>
  </w:style>
  <w:style w:type="paragraph" w:styleId="000006">
    <w:name w:val="footer"/>
    <w:basedOn w:val="000003"/>
    <w:link w:val="000007"/>
    <w:uiPriority w:val="99"/>
    <w:unhideWhenUsed/>
    <w:qFormat/>
    <w:pPr>
      <w:tabs>
        <w:tab w:val="center" w:pos="4153"/>
        <w:tab w:val="right" w:pos="8306"/>
      </w:tabs>
      <w:snapToGrid w:val="false"/>
      <w:jc w:val="left"/>
    </w:pPr>
    <w:rPr>
      <w:rFonts w:asciiTheme="minorHAnsi" w:hAnsiTheme="minorHAnsi" w:eastAsiaTheme="minorEastAsia" w:cstheme="minorBidi"/>
      <w:sz w:val="18"/>
      <w:szCs w:val="18"/>
    </w:rPr>
  </w:style>
  <w:style w:type="character" w:styleId="000004" w:default="true">
    <w:name w:val="Default Paragraph Font"/>
    <w:uiPriority w:val="1"/>
    <w:semiHidden/>
    <w:unhideWhenUsed/>
    <w:qFormat/>
  </w:style>
  <w:style w:type="character" w:styleId="000007" w:customStyle="true">
    <w:name w:val="页脚 Char"/>
    <w:basedOn w:val="000004"/>
    <w:link w:val="000006"/>
    <w:uiPriority w:val="99"/>
    <w:qFormat/>
    <w:rPr>
      <w:sz w:val="18"/>
      <w:szCs w:val="18"/>
    </w:rPr>
  </w:style>
  <w:style w:type="paragraph" w:styleId="000003" w:default="true">
    <w:name w:val="Normal"/>
    <w:uiPriority w:val="0"/>
    <w:qFormat/>
    <w:pPr>
      <w:widowControl w:val="false"/>
      <w:jc w:val="both"/>
    </w:pPr>
    <w:rPr>
      <w:rFonts w:ascii="Times New Roman" w:hAnsi="Times New Roman" w:eastAsia="宋体" w:cs="Times New Roman"/>
      <w:kern w:val="2"/>
      <w:sz w:val="21"/>
      <w:szCs w:val="24"/>
      <w:lang w:val="en-US" w:eastAsia="zh-CN" w:bidi="ar-SA"/>
    </w:rPr>
  </w:style>
  <w:style w:type="character" w:styleId="00000b" w:customStyle="true">
    <w:name w:val="font51"/>
    <w:basedOn w:val="000004"/>
    <w:uiPriority w:val="0"/>
    <w:qFormat/>
    <w:rPr>
      <w:rFonts w:hint="eastAsia" w:ascii="宋体" w:hAnsi="宋体" w:eastAsia="宋体" w:cs="宋体"/>
      <w:color w:val="000000"/>
      <w:sz w:val="21"/>
      <w:szCs w:val="21"/>
      <w:u w:val="none"/>
    </w:rPr>
  </w:style>
  <w:style w:type="paragraph" w:styleId="000008">
    <w:name w:val="header"/>
    <w:basedOn w:val="000003"/>
    <w:link w:val="000009"/>
    <w:uiPriority w:val="99"/>
    <w:unhideWhenUsed/>
    <w:qFormat/>
    <w:pPr>
      <w:pBdr>
        <w:bottom w:val="single" w:color="auto" w:sz="6" w:space="1"/>
      </w:pBdr>
      <w:tabs>
        <w:tab w:val="center" w:pos="4153"/>
        <w:tab w:val="right" w:pos="8306"/>
      </w:tabs>
      <w:snapToGrid w:val="false"/>
      <w:jc w:val="center"/>
    </w:pPr>
    <w:rPr>
      <w:rFonts w:asciiTheme="minorHAnsi" w:hAnsiTheme="minorHAnsi" w:eastAsiaTheme="minorEastAsia" w:cstheme="minorBidi"/>
      <w:sz w:val="18"/>
      <w:szCs w:val="18"/>
    </w:rPr>
  </w:style>
  <w:style w:type="character" w:styleId="000009" w:customStyle="true">
    <w:name w:val="页眉 Char"/>
    <w:basedOn w:val="000004"/>
    <w:link w:val="000008"/>
    <w:uiPriority w:val="99"/>
    <w:qFormat/>
    <w:rPr>
      <w:sz w:val="18"/>
      <w:szCs w:val="18"/>
    </w:rPr>
  </w:style>
  <w:style w:type="table" w:styleId="000005" w:default="true">
    <w:name w:val="Normal Table"/>
    <w:uiPriority w:val="99"/>
    <w:semiHidden/>
    <w:unhideWhenUsed/>
    <w:tblPr>
      <w:tblCellMar>
        <w:top w:w="0" w:type="dxa"/>
        <w:left w:w="108" w:type="dxa"/>
        <w:bottom w:w="0" w:type="dxa"/>
        <w:right w:w="108" w:type="dxa"/>
      </w:tblCellMar>
    </w:tblPr>
  </w:style>
  <w:style w:type="character" w:styleId="00000a">
    <w:name w:val="Hyperlink"/>
    <w:basedOn w:val="000004"/>
    <w:uiPriority w:val="99"/>
    <w:semiHidden/>
    <w:unhideWhenUsed/>
    <w:qFormat/>
    <w:rPr>
      <w:color w:val="0000FF"/>
      <w:u w:val="single"/>
    </w:rPr>
  </w:style>
  <w:style w:type="character" w:styleId="00000d" w:customStyle="true">
    <w:name w:val="font31"/>
    <w:basedOn w:val="000004"/>
    <w:uiPriority w:val="0"/>
    <w:qFormat/>
    <w:rPr>
      <w:rFonts w:hint="default" w:ascii="Calibri" w:hAnsi="Calibri" w:cs="Calibri"/>
      <w:color w:val="FF0000"/>
      <w:sz w:val="20"/>
      <w:szCs w:val="20"/>
      <w:u w:val="none"/>
    </w:rPr>
  </w:style>
</w:styles>
</file>

<file path=word/_rels/document.xml.rels><?xml version="1.0" encoding="UTF-8" standalone="yes"?><Relationships xmlns="http://schemas.openxmlformats.org/package/2006/relationships"><Relationship Id="rId8" Type="http://schemas.openxmlformats.org/officeDocument/2006/relationships/image" Target="media/image4.png" /><Relationship Id="rId7" Type="http://schemas.openxmlformats.org/officeDocument/2006/relationships/image" Target="media/image3.png" /><Relationship Id="rId22" Type="http://schemas.openxmlformats.org/officeDocument/2006/relationships/image" Target="media/image18.png" /><Relationship Id="rId15" Type="http://schemas.openxmlformats.org/officeDocument/2006/relationships/image" Target="media/image11.png" /><Relationship Id="rId11" Type="http://schemas.openxmlformats.org/officeDocument/2006/relationships/image" Target="media/image7.png" /><Relationship Id="rId36" Type="http://schemas.openxmlformats.org/officeDocument/2006/relationships/image" Target="media/image32.png" /><Relationship Id="rId6" Type="http://schemas.openxmlformats.org/officeDocument/2006/relationships/image" Target="media/image2.png" /><Relationship Id="rId19" Type="http://schemas.openxmlformats.org/officeDocument/2006/relationships/image" Target="media/image15.png" /><Relationship Id="rId4" Type="http://schemas.openxmlformats.org/officeDocument/2006/relationships/numbering" Target="numbering.xml" /><Relationship Id="rId16" Type="http://schemas.openxmlformats.org/officeDocument/2006/relationships/image" Target="media/image12.png" /><Relationship Id="rId17" Type="http://schemas.openxmlformats.org/officeDocument/2006/relationships/image" Target="media/image13.png" /><Relationship Id="rId30" Type="http://schemas.openxmlformats.org/officeDocument/2006/relationships/image" Target="media/image26.png" /><Relationship Id="rId18" Type="http://schemas.openxmlformats.org/officeDocument/2006/relationships/image" Target="media/image14.png" /><Relationship Id="rId2" Type="http://schemas.openxmlformats.org/officeDocument/2006/relationships/fontTable" Target="fontTable.xml" /><Relationship Id="rId23" Type="http://schemas.openxmlformats.org/officeDocument/2006/relationships/image" Target="media/image19.png" /><Relationship Id="rId38" Type="http://schemas.openxmlformats.org/officeDocument/2006/relationships/image" Target="media/image34.png" /><Relationship Id="rId0" Type="http://schemas.openxmlformats.org/officeDocument/2006/relationships/styles" Target="styles.xml" /><Relationship Id="rId26" Type="http://schemas.openxmlformats.org/officeDocument/2006/relationships/image" Target="media/image22.png" /><Relationship Id="rId27" Type="http://schemas.openxmlformats.org/officeDocument/2006/relationships/image" Target="media/image23.png" /><Relationship Id="rId10" Type="http://schemas.openxmlformats.org/officeDocument/2006/relationships/image" Target="media/image6.png" /><Relationship Id="rId20" Type="http://schemas.openxmlformats.org/officeDocument/2006/relationships/image" Target="media/image16.png" /><Relationship Id="rId21" Type="http://schemas.openxmlformats.org/officeDocument/2006/relationships/image" Target="media/image17.png" /><Relationship Id="rId31" Type="http://schemas.openxmlformats.org/officeDocument/2006/relationships/image" Target="media/image27.png" /><Relationship Id="rId32" Type="http://schemas.openxmlformats.org/officeDocument/2006/relationships/image" Target="media/image28.png" /><Relationship Id="rId35" Type="http://schemas.openxmlformats.org/officeDocument/2006/relationships/image" Target="media/image31.png" /><Relationship Id="rId1" Type="http://schemas.openxmlformats.org/officeDocument/2006/relationships/settings" Target="settings.xml" /><Relationship Id="rId13" Type="http://schemas.openxmlformats.org/officeDocument/2006/relationships/image" Target="media/image9.png" /><Relationship Id="rId9" Type="http://schemas.openxmlformats.org/officeDocument/2006/relationships/image" Target="media/image5.png" /><Relationship Id="rId24" Type="http://schemas.openxmlformats.org/officeDocument/2006/relationships/image" Target="media/image20.png" /><Relationship Id="rId25" Type="http://schemas.openxmlformats.org/officeDocument/2006/relationships/image" Target="media/image21.png" /><Relationship Id="rId37" Type="http://schemas.openxmlformats.org/officeDocument/2006/relationships/image" Target="media/image33.png" /><Relationship Id="rId28" Type="http://schemas.openxmlformats.org/officeDocument/2006/relationships/image" Target="media/image24.png" /><Relationship Id="rId14" Type="http://schemas.openxmlformats.org/officeDocument/2006/relationships/image" Target="media/image10.png" /><Relationship Id="rId3" Type="http://schemas.openxmlformats.org/officeDocument/2006/relationships/theme" Target="theme/theme1.xml" /><Relationship Id="rId33" Type="http://schemas.openxmlformats.org/officeDocument/2006/relationships/image" Target="media/image29.png" /><Relationship Id="rId29" Type="http://schemas.openxmlformats.org/officeDocument/2006/relationships/image" Target="media/image25.png" /><Relationship Id="rId34" Type="http://schemas.openxmlformats.org/officeDocument/2006/relationships/image" Target="media/image30.png" /><Relationship Id="rId12" Type="http://schemas.openxmlformats.org/officeDocument/2006/relationships/image" Target="media/image8.png" /><Relationship Id="rId5" Type="http://schemas.openxmlformats.org/officeDocument/2006/relationships/image" Target="media/image1.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false">
              <a:srgbClr val="000000">
                <a:alpha val="38000"/>
              </a:srgbClr>
            </a:outerShdw>
          </a:effectLst>
        </a:effectStyle>
        <a:effectStyle>
          <a:effectLst>
            <a:outerShdw blurRad="40000" dist="23000" dir="5400000" rotWithShape="false">
              <a:srgbClr val="000000">
                <a:alpha val="35000"/>
              </a:srgbClr>
            </a:outerShdw>
          </a:effectLst>
        </a:effectStyle>
        <a:effectStyle>
          <a:effectLst>
            <a:outerShdw blurRad="40000" dist="23000" dir="5400000" rotWithShape="false">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vt="http://schemas.openxmlformats.org/officeDocument/2006/docPropsVTypes" xmlns="http://schemas.openxmlformats.org/officeDocument/2006/extended-properties">
  <Application>Tencent office</Application>
</Properties>
</file>

<file path=docProps/core.xml><?xml version="1.0" encoding="utf-8"?>
<cp:coreProperties xmlns:xsi="http://www.w3.org/2001/XMLSchema-instance" xmlns:dcmitype="http://purl.org/dc/dcmitype/" xmlns:dcterms="http://purl.org/dc/terms/" xmlns:cp="http://schemas.openxmlformats.org/package/2006/metadata/core-properties" xmlns:dc="http://purl.org/dc/elements/1.1/">
  <dcterms:created xsi:type="dcterms:W3CDTF">2024-10-14T16:25:15Z</dcterms:created>
  <dcterms:modified xsi:type="dcterms:W3CDTF">2024-10-14T16:25:15Z</dcterms:modified>
</cp:coreProperties>
</file>