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5750F">
      <w:pPr>
        <w:rPr>
          <w:rFonts w:ascii="宋体" w:hAnsi="宋体" w:eastAsia="宋体"/>
        </w:rPr>
      </w:pP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515"/>
        <w:gridCol w:w="2207"/>
        <w:gridCol w:w="1425"/>
        <w:gridCol w:w="1774"/>
        <w:gridCol w:w="1775"/>
      </w:tblGrid>
      <w:tr w14:paraId="40204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Align w:val="center"/>
          </w:tcPr>
          <w:p w14:paraId="2CB292F6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维度</w:t>
            </w:r>
          </w:p>
        </w:tc>
        <w:tc>
          <w:tcPr>
            <w:tcW w:w="2433" w:type="pct"/>
            <w:gridSpan w:val="3"/>
            <w:vAlign w:val="center"/>
          </w:tcPr>
          <w:p w14:paraId="784A04BB">
            <w:pPr>
              <w:rPr>
                <w:rFonts w:hint="eastAsia" w:ascii="宋体" w:hAnsi="宋体" w:eastAsia="宋体"/>
                <w:b w:val="0"/>
                <w:bCs/>
                <w:lang w:val="en-US" w:eastAsia="zh-CN"/>
              </w:rPr>
            </w:pPr>
            <w:r>
              <w:rPr>
                <w:rFonts w:ascii="宋体" w:hAnsi="宋体" w:eastAsia="宋体"/>
                <w:b w:val="0"/>
                <w:bCs/>
              </w:rPr>
              <w:t>监测指标</w:t>
            </w:r>
            <w:bookmarkStart w:id="0" w:name="_GoBack"/>
            <w:bookmarkEnd w:id="0"/>
          </w:p>
        </w:tc>
        <w:tc>
          <w:tcPr>
            <w:tcW w:w="1041" w:type="pct"/>
            <w:vAlign w:val="center"/>
          </w:tcPr>
          <w:p w14:paraId="2FB98E04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一级参考标准</w:t>
            </w:r>
          </w:p>
        </w:tc>
        <w:tc>
          <w:tcPr>
            <w:tcW w:w="1041" w:type="pct"/>
            <w:vAlign w:val="center"/>
          </w:tcPr>
          <w:p w14:paraId="1535DBC0">
            <w:pPr>
              <w:rPr>
                <w:rFonts w:hint="default" w:ascii="宋体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lang w:val="en-US" w:eastAsia="zh-CN"/>
              </w:rPr>
              <w:t>对应表格列</w:t>
            </w:r>
          </w:p>
        </w:tc>
      </w:tr>
      <w:tr w14:paraId="2AF87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restart"/>
            <w:vAlign w:val="center"/>
          </w:tcPr>
          <w:p w14:paraId="3ABA5EC4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课程与教学</w:t>
            </w:r>
          </w:p>
        </w:tc>
        <w:tc>
          <w:tcPr>
            <w:tcW w:w="302" w:type="pct"/>
            <w:vMerge w:val="restart"/>
            <w:vAlign w:val="center"/>
          </w:tcPr>
          <w:p w14:paraId="7C6C968E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1</w:t>
            </w:r>
          </w:p>
        </w:tc>
        <w:tc>
          <w:tcPr>
            <w:tcW w:w="1295" w:type="pct"/>
            <w:vMerge w:val="restart"/>
            <w:vAlign w:val="center"/>
          </w:tcPr>
          <w:p w14:paraId="7D31DF0D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教师教育课程学分</w:t>
            </w:r>
          </w:p>
        </w:tc>
        <w:tc>
          <w:tcPr>
            <w:tcW w:w="836" w:type="pct"/>
            <w:vAlign w:val="center"/>
          </w:tcPr>
          <w:p w14:paraId="5A9C642A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必修课</w:t>
            </w:r>
          </w:p>
        </w:tc>
        <w:tc>
          <w:tcPr>
            <w:tcW w:w="1041" w:type="pct"/>
            <w:vAlign w:val="center"/>
          </w:tcPr>
          <w:p w14:paraId="69405C90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必修课≥10学分</w:t>
            </w:r>
          </w:p>
        </w:tc>
        <w:tc>
          <w:tcPr>
            <w:tcW w:w="1041" w:type="pct"/>
            <w:vAlign w:val="center"/>
          </w:tcPr>
          <w:p w14:paraId="1D23E1E0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hint="eastAsia" w:ascii="宋体" w:hAnsi="宋体" w:eastAsia="宋体"/>
                <w:b w:val="0"/>
                <w:bCs/>
              </w:rPr>
              <w:t>表师范-5</w:t>
            </w:r>
          </w:p>
        </w:tc>
      </w:tr>
      <w:tr w14:paraId="3DAFC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55F14D62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3A3F9470">
            <w:pPr>
              <w:jc w:val="center"/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1295" w:type="pct"/>
            <w:vMerge w:val="continue"/>
            <w:vAlign w:val="center"/>
          </w:tcPr>
          <w:p w14:paraId="5BB64E4E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836" w:type="pct"/>
            <w:vAlign w:val="center"/>
          </w:tcPr>
          <w:p w14:paraId="0D0A8FA9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总学分</w:t>
            </w:r>
          </w:p>
        </w:tc>
        <w:tc>
          <w:tcPr>
            <w:tcW w:w="1041" w:type="pct"/>
            <w:vAlign w:val="center"/>
          </w:tcPr>
          <w:p w14:paraId="34A4283F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总学分≥14学分</w:t>
            </w:r>
          </w:p>
        </w:tc>
        <w:tc>
          <w:tcPr>
            <w:tcW w:w="1041" w:type="pct"/>
            <w:vAlign w:val="center"/>
          </w:tcPr>
          <w:p w14:paraId="018DCE39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hint="eastAsia" w:ascii="宋体" w:hAnsi="宋体" w:eastAsia="宋体"/>
                <w:b w:val="0"/>
                <w:bCs/>
              </w:rPr>
              <w:t>表师范-5</w:t>
            </w:r>
          </w:p>
        </w:tc>
      </w:tr>
      <w:tr w14:paraId="241E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77F04BAC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01A14D65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2</w:t>
            </w:r>
          </w:p>
        </w:tc>
        <w:tc>
          <w:tcPr>
            <w:tcW w:w="2131" w:type="pct"/>
            <w:gridSpan w:val="2"/>
            <w:vAlign w:val="center"/>
          </w:tcPr>
          <w:p w14:paraId="2D6BBEC2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人文社会与科学素养课程学分占总学分比例</w:t>
            </w:r>
          </w:p>
        </w:tc>
        <w:tc>
          <w:tcPr>
            <w:tcW w:w="1041" w:type="pct"/>
            <w:vAlign w:val="center"/>
          </w:tcPr>
          <w:p w14:paraId="28BBA90A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≥10%</w:t>
            </w:r>
          </w:p>
        </w:tc>
        <w:tc>
          <w:tcPr>
            <w:tcW w:w="1041" w:type="pct"/>
            <w:vAlign w:val="center"/>
          </w:tcPr>
          <w:p w14:paraId="620E185B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hint="eastAsia" w:ascii="宋体" w:hAnsi="宋体" w:eastAsia="宋体"/>
                <w:b w:val="0"/>
                <w:bCs/>
              </w:rPr>
              <w:t>表师范-5</w:t>
            </w:r>
          </w:p>
        </w:tc>
      </w:tr>
      <w:tr w14:paraId="0857D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61A529AF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3FD4E874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3</w:t>
            </w:r>
          </w:p>
        </w:tc>
        <w:tc>
          <w:tcPr>
            <w:tcW w:w="2131" w:type="pct"/>
            <w:gridSpan w:val="2"/>
            <w:vAlign w:val="center"/>
          </w:tcPr>
          <w:p w14:paraId="095B2EB9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学科专业课程学分占总学分比例</w:t>
            </w:r>
          </w:p>
        </w:tc>
        <w:tc>
          <w:tcPr>
            <w:tcW w:w="1041" w:type="pct"/>
            <w:vAlign w:val="center"/>
          </w:tcPr>
          <w:p w14:paraId="3AA59A35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≥50%</w:t>
            </w:r>
          </w:p>
        </w:tc>
        <w:tc>
          <w:tcPr>
            <w:tcW w:w="1041" w:type="pct"/>
            <w:vAlign w:val="center"/>
          </w:tcPr>
          <w:p w14:paraId="0D713660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hint="eastAsia" w:ascii="宋体" w:hAnsi="宋体" w:eastAsia="宋体"/>
                <w:b w:val="0"/>
                <w:bCs/>
              </w:rPr>
              <w:t>表师范-5</w:t>
            </w:r>
          </w:p>
        </w:tc>
      </w:tr>
      <w:tr w14:paraId="736C4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restart"/>
            <w:vAlign w:val="center"/>
          </w:tcPr>
          <w:p w14:paraId="49D32921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合作与实践</w:t>
            </w:r>
          </w:p>
        </w:tc>
        <w:tc>
          <w:tcPr>
            <w:tcW w:w="302" w:type="pct"/>
            <w:vAlign w:val="center"/>
          </w:tcPr>
          <w:p w14:paraId="4BE49A2D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4</w:t>
            </w:r>
          </w:p>
        </w:tc>
        <w:tc>
          <w:tcPr>
            <w:tcW w:w="2131" w:type="pct"/>
            <w:gridSpan w:val="2"/>
            <w:vAlign w:val="center"/>
          </w:tcPr>
          <w:p w14:paraId="3B9B5FC1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教育实践时间</w:t>
            </w:r>
          </w:p>
        </w:tc>
        <w:tc>
          <w:tcPr>
            <w:tcW w:w="1041" w:type="pct"/>
            <w:vAlign w:val="center"/>
          </w:tcPr>
          <w:p w14:paraId="3DF2A098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≥18周</w:t>
            </w:r>
          </w:p>
        </w:tc>
        <w:tc>
          <w:tcPr>
            <w:tcW w:w="1041" w:type="pct"/>
            <w:vAlign w:val="center"/>
          </w:tcPr>
          <w:p w14:paraId="3A8C7FBA">
            <w:pPr>
              <w:rPr>
                <w:rFonts w:hint="eastAsia" w:ascii="宋体" w:hAnsi="宋体" w:eastAsia="宋体"/>
                <w:b w:val="0"/>
                <w:bCs/>
                <w:lang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lang w:val="en-US" w:eastAsia="zh-CN"/>
              </w:rPr>
              <w:t>表</w:t>
            </w:r>
            <w:r>
              <w:rPr>
                <w:rFonts w:hint="eastAsia" w:ascii="宋体" w:hAnsi="宋体" w:eastAsia="宋体"/>
                <w:b w:val="0"/>
                <w:bCs/>
              </w:rPr>
              <w:t>师范-5</w:t>
            </w:r>
            <w:r>
              <w:rPr>
                <w:rFonts w:hint="eastAsia" w:ascii="宋体" w:hAnsi="宋体" w:eastAsia="宋体"/>
                <w:b w:val="0"/>
                <w:bCs/>
                <w:lang w:eastAsia="zh-CN"/>
              </w:rPr>
              <w:t>、</w:t>
            </w:r>
            <w:r>
              <w:rPr>
                <w:rFonts w:hint="eastAsia" w:ascii="宋体" w:hAnsi="宋体" w:eastAsia="宋体"/>
                <w:b w:val="0"/>
                <w:bCs/>
                <w:lang w:val="en-US" w:eastAsia="zh-CN"/>
              </w:rPr>
              <w:t>表2-4</w:t>
            </w:r>
          </w:p>
        </w:tc>
      </w:tr>
      <w:tr w14:paraId="192FC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5D291107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390FC128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5</w:t>
            </w:r>
          </w:p>
        </w:tc>
        <w:tc>
          <w:tcPr>
            <w:tcW w:w="2131" w:type="pct"/>
            <w:gridSpan w:val="2"/>
            <w:vAlign w:val="center"/>
          </w:tcPr>
          <w:p w14:paraId="525B174A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实习生数与教育实践基地数比例</w:t>
            </w:r>
          </w:p>
        </w:tc>
        <w:tc>
          <w:tcPr>
            <w:tcW w:w="1041" w:type="pct"/>
            <w:vAlign w:val="center"/>
          </w:tcPr>
          <w:p w14:paraId="16BDDE68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≤20:1</w:t>
            </w:r>
          </w:p>
        </w:tc>
        <w:tc>
          <w:tcPr>
            <w:tcW w:w="1041" w:type="pct"/>
            <w:vAlign w:val="center"/>
          </w:tcPr>
          <w:p w14:paraId="628653BC">
            <w:pPr>
              <w:rPr>
                <w:rFonts w:hint="default" w:ascii="宋体" w:hAnsi="宋体" w:eastAsia="宋体"/>
                <w:b w:val="0"/>
                <w:bCs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  <w:lang w:val="en-US" w:eastAsia="zh-CN"/>
              </w:rPr>
              <w:t>表</w:t>
            </w:r>
            <w:r>
              <w:rPr>
                <w:rFonts w:hint="eastAsia" w:ascii="宋体" w:hAnsi="宋体" w:eastAsia="宋体"/>
                <w:b w:val="0"/>
                <w:bCs/>
              </w:rPr>
              <w:t>师范-5</w:t>
            </w:r>
            <w:r>
              <w:rPr>
                <w:rFonts w:hint="eastAsia" w:ascii="宋体" w:hAnsi="宋体" w:eastAsia="宋体"/>
                <w:b w:val="0"/>
                <w:bCs/>
                <w:lang w:eastAsia="zh-CN"/>
              </w:rPr>
              <w:t>、</w:t>
            </w:r>
            <w:r>
              <w:rPr>
                <w:rFonts w:hint="eastAsia" w:ascii="宋体" w:hAnsi="宋体" w:eastAsia="宋体"/>
                <w:b w:val="0"/>
                <w:bCs/>
                <w:lang w:val="en-US" w:eastAsia="zh-CN"/>
              </w:rPr>
              <w:t>表2-4</w:t>
            </w:r>
          </w:p>
        </w:tc>
      </w:tr>
      <w:tr w14:paraId="1C52B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restart"/>
            <w:vAlign w:val="center"/>
          </w:tcPr>
          <w:p w14:paraId="64D6BB44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师资队伍</w:t>
            </w:r>
          </w:p>
        </w:tc>
        <w:tc>
          <w:tcPr>
            <w:tcW w:w="302" w:type="pct"/>
            <w:vAlign w:val="center"/>
          </w:tcPr>
          <w:p w14:paraId="0CF26CEB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6</w:t>
            </w:r>
          </w:p>
        </w:tc>
        <w:tc>
          <w:tcPr>
            <w:tcW w:w="2131" w:type="pct"/>
            <w:gridSpan w:val="2"/>
            <w:vAlign w:val="center"/>
          </w:tcPr>
          <w:p w14:paraId="47D468A7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生师比</w:t>
            </w:r>
          </w:p>
        </w:tc>
        <w:tc>
          <w:tcPr>
            <w:tcW w:w="1041" w:type="pct"/>
            <w:vAlign w:val="center"/>
          </w:tcPr>
          <w:p w14:paraId="39551F22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≤18:1</w:t>
            </w:r>
          </w:p>
        </w:tc>
        <w:tc>
          <w:tcPr>
            <w:tcW w:w="1041" w:type="pct"/>
            <w:vAlign w:val="center"/>
          </w:tcPr>
          <w:p w14:paraId="52A9608E">
            <w:pPr>
              <w:rPr>
                <w:rFonts w:ascii="宋体" w:hAnsi="宋体" w:eastAsia="宋体"/>
                <w:b w:val="0"/>
                <w:bCs/>
              </w:rPr>
            </w:pPr>
          </w:p>
        </w:tc>
      </w:tr>
      <w:tr w14:paraId="29093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2EEBEE7F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3D45257F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7</w:t>
            </w:r>
          </w:p>
        </w:tc>
        <w:tc>
          <w:tcPr>
            <w:tcW w:w="2131" w:type="pct"/>
            <w:gridSpan w:val="2"/>
            <w:vAlign w:val="center"/>
          </w:tcPr>
          <w:p w14:paraId="21B74A0B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学科课程与教学论教师</w:t>
            </w:r>
          </w:p>
        </w:tc>
        <w:tc>
          <w:tcPr>
            <w:tcW w:w="1041" w:type="pct"/>
            <w:vAlign w:val="center"/>
          </w:tcPr>
          <w:p w14:paraId="4508D24C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有</w:t>
            </w:r>
          </w:p>
        </w:tc>
        <w:tc>
          <w:tcPr>
            <w:tcW w:w="1041" w:type="pct"/>
            <w:vAlign w:val="center"/>
          </w:tcPr>
          <w:p w14:paraId="4A3A5BF9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hint="eastAsia" w:ascii="宋体" w:hAnsi="宋体" w:eastAsia="宋体"/>
                <w:b w:val="0"/>
                <w:bCs/>
              </w:rPr>
              <w:t>表师范-6</w:t>
            </w:r>
          </w:p>
        </w:tc>
      </w:tr>
      <w:tr w14:paraId="07F1C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7D3C8CD0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0420B927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8</w:t>
            </w:r>
          </w:p>
        </w:tc>
        <w:tc>
          <w:tcPr>
            <w:tcW w:w="2131" w:type="pct"/>
            <w:gridSpan w:val="2"/>
            <w:vAlign w:val="center"/>
          </w:tcPr>
          <w:p w14:paraId="61E33084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具有高级职称教师占专任教师比例</w:t>
            </w:r>
          </w:p>
        </w:tc>
        <w:tc>
          <w:tcPr>
            <w:tcW w:w="1041" w:type="pct"/>
            <w:vAlign w:val="center"/>
          </w:tcPr>
          <w:p w14:paraId="14DF6E8D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≥学校平均水平</w:t>
            </w:r>
          </w:p>
        </w:tc>
        <w:tc>
          <w:tcPr>
            <w:tcW w:w="1041" w:type="pct"/>
            <w:vAlign w:val="center"/>
          </w:tcPr>
          <w:p w14:paraId="71F50270">
            <w:pPr>
              <w:rPr>
                <w:rFonts w:ascii="宋体" w:hAnsi="宋体" w:eastAsia="宋体"/>
                <w:b w:val="0"/>
                <w:bCs/>
              </w:rPr>
            </w:pPr>
          </w:p>
        </w:tc>
      </w:tr>
      <w:tr w14:paraId="639FE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3829D25E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41CEE379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9</w:t>
            </w:r>
          </w:p>
        </w:tc>
        <w:tc>
          <w:tcPr>
            <w:tcW w:w="2131" w:type="pct"/>
            <w:gridSpan w:val="2"/>
            <w:vAlign w:val="center"/>
          </w:tcPr>
          <w:p w14:paraId="74252813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具有硕博士学位教师占专任教师比例</w:t>
            </w:r>
          </w:p>
        </w:tc>
        <w:tc>
          <w:tcPr>
            <w:tcW w:w="1041" w:type="pct"/>
            <w:vAlign w:val="center"/>
          </w:tcPr>
          <w:p w14:paraId="1DB0816B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≥60%</w:t>
            </w:r>
          </w:p>
        </w:tc>
        <w:tc>
          <w:tcPr>
            <w:tcW w:w="1041" w:type="pct"/>
            <w:vAlign w:val="center"/>
          </w:tcPr>
          <w:p w14:paraId="7AFD719D">
            <w:pPr>
              <w:rPr>
                <w:rFonts w:ascii="宋体" w:hAnsi="宋体" w:eastAsia="宋体"/>
                <w:b w:val="0"/>
                <w:bCs/>
              </w:rPr>
            </w:pPr>
          </w:p>
        </w:tc>
      </w:tr>
      <w:tr w14:paraId="6B056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5C9FE62D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0C663398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10</w:t>
            </w:r>
          </w:p>
        </w:tc>
        <w:tc>
          <w:tcPr>
            <w:tcW w:w="2131" w:type="pct"/>
            <w:gridSpan w:val="2"/>
            <w:vAlign w:val="center"/>
          </w:tcPr>
          <w:p w14:paraId="333AABDD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中学兼职教师占教师教育课程教师比例</w:t>
            </w:r>
          </w:p>
        </w:tc>
        <w:tc>
          <w:tcPr>
            <w:tcW w:w="1041" w:type="pct"/>
            <w:vAlign w:val="center"/>
          </w:tcPr>
          <w:p w14:paraId="721B55DC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≥20%</w:t>
            </w:r>
          </w:p>
        </w:tc>
        <w:tc>
          <w:tcPr>
            <w:tcW w:w="1041" w:type="pct"/>
            <w:vAlign w:val="center"/>
          </w:tcPr>
          <w:p w14:paraId="791A8C3A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hint="eastAsia" w:ascii="宋体" w:hAnsi="宋体" w:eastAsia="宋体"/>
                <w:b w:val="0"/>
                <w:bCs/>
              </w:rPr>
              <w:t>表师范-6</w:t>
            </w:r>
          </w:p>
        </w:tc>
      </w:tr>
      <w:tr w14:paraId="4759C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restart"/>
            <w:vAlign w:val="center"/>
          </w:tcPr>
          <w:p w14:paraId="36740502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支持条件</w:t>
            </w:r>
          </w:p>
        </w:tc>
        <w:tc>
          <w:tcPr>
            <w:tcW w:w="302" w:type="pct"/>
            <w:vAlign w:val="center"/>
          </w:tcPr>
          <w:p w14:paraId="70A3EBFE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11</w:t>
            </w:r>
          </w:p>
        </w:tc>
        <w:tc>
          <w:tcPr>
            <w:tcW w:w="2131" w:type="pct"/>
            <w:gridSpan w:val="2"/>
            <w:vAlign w:val="center"/>
          </w:tcPr>
          <w:p w14:paraId="0ADD67B3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教学日常运行支出占生均拨款总额与学费收入之和的比例</w:t>
            </w:r>
          </w:p>
        </w:tc>
        <w:tc>
          <w:tcPr>
            <w:tcW w:w="1041" w:type="pct"/>
            <w:vAlign w:val="center"/>
          </w:tcPr>
          <w:p w14:paraId="09A15574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≥13%</w:t>
            </w:r>
          </w:p>
        </w:tc>
        <w:tc>
          <w:tcPr>
            <w:tcW w:w="1041" w:type="pct"/>
            <w:vMerge w:val="restart"/>
            <w:vAlign w:val="center"/>
          </w:tcPr>
          <w:p w14:paraId="077AC8E8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hint="eastAsia" w:ascii="宋体" w:hAnsi="宋体" w:eastAsia="宋体"/>
                <w:b w:val="0"/>
                <w:bCs/>
              </w:rPr>
              <w:t>表师范-3</w:t>
            </w:r>
          </w:p>
        </w:tc>
      </w:tr>
      <w:tr w14:paraId="1931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526D2A10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1BA892B3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12</w:t>
            </w:r>
          </w:p>
        </w:tc>
        <w:tc>
          <w:tcPr>
            <w:tcW w:w="2131" w:type="pct"/>
            <w:gridSpan w:val="2"/>
            <w:vAlign w:val="center"/>
          </w:tcPr>
          <w:p w14:paraId="0AA31151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生均教学日常运行支出</w:t>
            </w:r>
          </w:p>
        </w:tc>
        <w:tc>
          <w:tcPr>
            <w:tcW w:w="1041" w:type="pct"/>
            <w:vAlign w:val="center"/>
          </w:tcPr>
          <w:p w14:paraId="3669C2ED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≥学校平均水平</w:t>
            </w:r>
          </w:p>
        </w:tc>
        <w:tc>
          <w:tcPr>
            <w:tcW w:w="1041" w:type="pct"/>
            <w:vMerge w:val="continue"/>
            <w:vAlign w:val="center"/>
          </w:tcPr>
          <w:p w14:paraId="3F562D7D">
            <w:pPr>
              <w:rPr>
                <w:rFonts w:ascii="宋体" w:hAnsi="宋体" w:eastAsia="宋体"/>
                <w:b w:val="0"/>
                <w:bCs/>
              </w:rPr>
            </w:pPr>
          </w:p>
        </w:tc>
      </w:tr>
      <w:tr w14:paraId="2C9CD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09D000BC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040DEAF1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13</w:t>
            </w:r>
          </w:p>
        </w:tc>
        <w:tc>
          <w:tcPr>
            <w:tcW w:w="2131" w:type="pct"/>
            <w:gridSpan w:val="2"/>
            <w:vAlign w:val="center"/>
          </w:tcPr>
          <w:p w14:paraId="5DDB3D92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生均教育实践经费</w:t>
            </w:r>
          </w:p>
        </w:tc>
        <w:tc>
          <w:tcPr>
            <w:tcW w:w="1041" w:type="pct"/>
            <w:vAlign w:val="center"/>
          </w:tcPr>
          <w:p w14:paraId="3E536A50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≥学校平均水平</w:t>
            </w:r>
          </w:p>
        </w:tc>
        <w:tc>
          <w:tcPr>
            <w:tcW w:w="1041" w:type="pct"/>
            <w:vMerge w:val="continue"/>
            <w:vAlign w:val="center"/>
          </w:tcPr>
          <w:p w14:paraId="6EF0B032">
            <w:pPr>
              <w:rPr>
                <w:rFonts w:ascii="宋体" w:hAnsi="宋体" w:eastAsia="宋体"/>
                <w:b w:val="0"/>
                <w:bCs/>
              </w:rPr>
            </w:pPr>
          </w:p>
        </w:tc>
      </w:tr>
      <w:tr w14:paraId="52D34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7DB933A2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Merge w:val="restart"/>
            <w:vAlign w:val="center"/>
          </w:tcPr>
          <w:p w14:paraId="2D445F40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14</w:t>
            </w:r>
          </w:p>
        </w:tc>
        <w:tc>
          <w:tcPr>
            <w:tcW w:w="2131" w:type="pct"/>
            <w:gridSpan w:val="2"/>
            <w:vMerge w:val="restart"/>
            <w:vAlign w:val="center"/>
          </w:tcPr>
          <w:p w14:paraId="25C3DA14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生均教育类纸质图书</w:t>
            </w:r>
          </w:p>
        </w:tc>
        <w:tc>
          <w:tcPr>
            <w:tcW w:w="1041" w:type="pct"/>
            <w:vAlign w:val="center"/>
          </w:tcPr>
          <w:p w14:paraId="2710115E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≥30册</w:t>
            </w:r>
          </w:p>
        </w:tc>
        <w:tc>
          <w:tcPr>
            <w:tcW w:w="1041" w:type="pct"/>
            <w:vMerge w:val="restart"/>
            <w:vAlign w:val="center"/>
          </w:tcPr>
          <w:p w14:paraId="447D65D4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hint="eastAsia" w:ascii="宋体" w:hAnsi="宋体" w:eastAsia="宋体"/>
                <w:b w:val="0"/>
                <w:bCs/>
              </w:rPr>
              <w:t>表师范-3</w:t>
            </w:r>
          </w:p>
        </w:tc>
      </w:tr>
      <w:tr w14:paraId="7890B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327AAEAA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Merge w:val="continue"/>
            <w:vAlign w:val="center"/>
          </w:tcPr>
          <w:p w14:paraId="53957EC1">
            <w:pPr>
              <w:jc w:val="center"/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2131" w:type="pct"/>
            <w:gridSpan w:val="2"/>
            <w:vMerge w:val="continue"/>
            <w:vAlign w:val="center"/>
          </w:tcPr>
          <w:p w14:paraId="78B00BF8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1041" w:type="pct"/>
            <w:vAlign w:val="center"/>
          </w:tcPr>
          <w:p w14:paraId="15A06457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每6个实习生配备中学学科教材≥1套</w:t>
            </w:r>
          </w:p>
        </w:tc>
        <w:tc>
          <w:tcPr>
            <w:tcW w:w="1041" w:type="pct"/>
            <w:vMerge w:val="continue"/>
            <w:vAlign w:val="center"/>
          </w:tcPr>
          <w:p w14:paraId="6C6509B1">
            <w:pPr>
              <w:rPr>
                <w:rFonts w:ascii="宋体" w:hAnsi="宋体" w:eastAsia="宋体"/>
                <w:b/>
              </w:rPr>
            </w:pPr>
          </w:p>
        </w:tc>
      </w:tr>
      <w:tr w14:paraId="14FB9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3" w:type="pct"/>
            <w:vMerge w:val="continue"/>
            <w:vAlign w:val="center"/>
          </w:tcPr>
          <w:p w14:paraId="60285B63">
            <w:pPr>
              <w:rPr>
                <w:rFonts w:ascii="宋体" w:hAnsi="宋体" w:eastAsia="宋体"/>
                <w:b w:val="0"/>
                <w:bCs/>
              </w:rPr>
            </w:pPr>
          </w:p>
        </w:tc>
        <w:tc>
          <w:tcPr>
            <w:tcW w:w="302" w:type="pct"/>
            <w:vAlign w:val="center"/>
          </w:tcPr>
          <w:p w14:paraId="258AB0CE">
            <w:pPr>
              <w:jc w:val="center"/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15</w:t>
            </w:r>
          </w:p>
        </w:tc>
        <w:tc>
          <w:tcPr>
            <w:tcW w:w="2131" w:type="pct"/>
            <w:gridSpan w:val="2"/>
            <w:vAlign w:val="center"/>
          </w:tcPr>
          <w:p w14:paraId="18D2D94B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微格教学、语言技能、书写技能、学科实验教学实训室等教学设施</w:t>
            </w:r>
          </w:p>
        </w:tc>
        <w:tc>
          <w:tcPr>
            <w:tcW w:w="1041" w:type="pct"/>
            <w:vAlign w:val="center"/>
          </w:tcPr>
          <w:p w14:paraId="663774F8">
            <w:pPr>
              <w:rPr>
                <w:rFonts w:ascii="宋体" w:hAnsi="宋体" w:eastAsia="宋体"/>
                <w:b w:val="0"/>
                <w:bCs/>
              </w:rPr>
            </w:pPr>
            <w:r>
              <w:rPr>
                <w:rFonts w:ascii="宋体" w:hAnsi="宋体" w:eastAsia="宋体"/>
                <w:b w:val="0"/>
                <w:bCs/>
              </w:rPr>
              <w:t>有</w:t>
            </w:r>
          </w:p>
        </w:tc>
        <w:tc>
          <w:tcPr>
            <w:tcW w:w="1041" w:type="pct"/>
            <w:vAlign w:val="center"/>
          </w:tcPr>
          <w:p w14:paraId="28840721">
            <w:pPr>
              <w:rPr>
                <w:rFonts w:hint="eastAsia" w:ascii="宋体" w:hAnsi="宋体" w:eastAsia="宋体"/>
                <w:b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/>
              </w:rPr>
              <w:t>表师范-</w:t>
            </w:r>
            <w:r>
              <w:rPr>
                <w:rFonts w:hint="eastAsia" w:ascii="宋体" w:hAnsi="宋体" w:eastAsia="宋体"/>
                <w:b w:val="0"/>
                <w:bCs/>
                <w:lang w:val="en-US" w:eastAsia="zh-CN"/>
              </w:rPr>
              <w:t>4</w:t>
            </w:r>
          </w:p>
        </w:tc>
      </w:tr>
    </w:tbl>
    <w:p w14:paraId="2395DA0B">
      <w:pPr>
        <w:rPr>
          <w:rFonts w:hint="eastAsia"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FlNzc0NWRiMzE4NjdlMmU5Y2I4MTY4NmExMzYyMjAifQ=="/>
  </w:docVars>
  <w:rsids>
    <w:rsidRoot w:val="00F01156"/>
    <w:rsid w:val="00093058"/>
    <w:rsid w:val="00124ECE"/>
    <w:rsid w:val="001330EE"/>
    <w:rsid w:val="001D7C4D"/>
    <w:rsid w:val="001F43EC"/>
    <w:rsid w:val="00200BB8"/>
    <w:rsid w:val="002A7D82"/>
    <w:rsid w:val="00457FBC"/>
    <w:rsid w:val="00564DD2"/>
    <w:rsid w:val="00784D64"/>
    <w:rsid w:val="008E5F91"/>
    <w:rsid w:val="00905200"/>
    <w:rsid w:val="00915CD4"/>
    <w:rsid w:val="00982741"/>
    <w:rsid w:val="00BF11B5"/>
    <w:rsid w:val="00CF25CD"/>
    <w:rsid w:val="00DE3F3C"/>
    <w:rsid w:val="00F01156"/>
    <w:rsid w:val="00FF41FD"/>
    <w:rsid w:val="361E5EEE"/>
    <w:rsid w:val="37B94B79"/>
    <w:rsid w:val="4A9A30DB"/>
    <w:rsid w:val="543B7420"/>
    <w:rsid w:val="78A868EB"/>
    <w:rsid w:val="7DC2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383</Words>
  <Characters>424</Characters>
  <Lines>6</Lines>
  <Paragraphs>1</Paragraphs>
  <TotalTime>0</TotalTime>
  <ScaleCrop>false</ScaleCrop>
  <LinksUpToDate>false</LinksUpToDate>
  <CharactersWithSpaces>424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2022-07-01T08:32:00Z</dcterms:created>
  <dc:creator>Li Qing</dc:creator>
  <cp:lastModifiedBy>lww-fjnu</cp:lastModifiedBy>
  <dcterms:modified xsi:type="dcterms:W3CDTF">2024-10-14T03:20:45Z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B7F4214D9E5C4897838847168993AAB9</vt:lpwstr>
  </property>
</Properties>
</file>