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黑体_GBK" w:hAnsi="黑体" w:eastAsia="方正黑体_GBK"/>
          <w:sz w:val="32"/>
          <w:szCs w:val="32"/>
          <w:lang w:eastAsia="zh-CN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1</w:t>
      </w:r>
    </w:p>
    <w:p>
      <w:pPr>
        <w:keepNext/>
        <w:keepLines/>
        <w:spacing w:line="600" w:lineRule="exact"/>
        <w:jc w:val="center"/>
        <w:outlineLvl w:val="0"/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排课原则</w:t>
      </w:r>
    </w:p>
    <w:p>
      <w:pPr>
        <w:widowControl/>
        <w:spacing w:line="600" w:lineRule="exact"/>
        <w:ind w:firstLine="66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1.排课前应做好教师信息的维护工作。根据学校人事处相关文件规定，安排符合条件的教师担任主讲任务，助教不得单独承担课程。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2.上午1、2节要求尽量排课。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周一至周五晚上、周三下午及周六、周日原则上不排课，特殊情况需排课的，要求学院提交书面申请。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每周三、五晚上为全校性公共选修课上课时间，每周一、二、四晚上为全校性重修班上课时间。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原则上不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安排其他课程的教学。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同一班级同一门课程原则上每次安排2学时。如有特殊原因需要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3节或3节以上连上的（实训、实习除外），由学院教学工作委员会论证后提交教务处审核备案。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多位教师联合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</w:rPr>
        <w:t>授同一门课程的，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在下任务时应分配好每个老师的上课周次，原则上任课教师每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天授课最高不得超过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6学时。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全校性通识教育课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上课时间由各学院事先与开课单位协调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并落实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.上课人数要准确。教室安排时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（注意考虑重修学生人数）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不得超过最大教室容量（计算机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容量为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；有试听安排的选修课应每学期第十六周之前完成在选课，并在教务系统中体现准确的上课人数。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C38E9"/>
    <w:rsid w:val="258B25F5"/>
    <w:rsid w:val="37A7765F"/>
    <w:rsid w:val="3D912EA1"/>
    <w:rsid w:val="742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2019-11-06T04:01:00Z</dcterms:created>
  <dc:creator>史柳萍</dc:creator>
  <cp:lastModifiedBy>史柳萍</cp:lastModifiedBy>
  <dcterms:modified xsi:type="dcterms:W3CDTF">2021-05-10T08:47:20Z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459490151_btnclosed</vt:lpwstr>
  </property>
  <property fmtid="{D5CDD505-2E9C-101B-9397-08002B2CF9AE}" pid="4" name="ICV">
    <vt:lpwstr>ADC1F1D1829D4F22A6DA136979951815</vt:lpwstr>
  </property>
</Properties>
</file>