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5FF0C">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福建师范大学双学士学位复合型人才培养</w:t>
      </w:r>
    </w:p>
    <w:p w14:paraId="57E30AB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项目管理办法（试行）</w:t>
      </w:r>
    </w:p>
    <w:p w14:paraId="3F25E8C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b w:val="0"/>
          <w:bCs/>
          <w:color w:val="000000" w:themeColor="text1"/>
          <w:sz w:val="36"/>
          <w:szCs w:val="36"/>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36"/>
          <w:szCs w:val="36"/>
          <w:lang w:val="en-US" w:eastAsia="zh-CN"/>
          <w14:textFill>
            <w14:solidFill>
              <w14:schemeClr w14:val="tx1"/>
            </w14:solidFill>
          </w14:textFill>
        </w:rPr>
        <w:t>（征求意见稿）</w:t>
      </w:r>
    </w:p>
    <w:p w14:paraId="2C6F7D0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方正小标宋简体"/>
          <w:b w:val="0"/>
          <w:bCs/>
          <w:color w:val="000000" w:themeColor="text1"/>
          <w:sz w:val="36"/>
          <w:szCs w:val="36"/>
          <w:lang w:val="en-US" w:eastAsia="zh-CN"/>
          <w14:textFill>
            <w14:solidFill>
              <w14:schemeClr w14:val="tx1"/>
            </w14:solidFill>
          </w14:textFill>
        </w:rPr>
      </w:pPr>
    </w:p>
    <w:p w14:paraId="1623D13A">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第一章 总则</w:t>
      </w:r>
    </w:p>
    <w:p w14:paraId="3650552A">
      <w:pPr>
        <w:keepNext w:val="0"/>
        <w:keepLines w:val="0"/>
        <w:widowControl/>
        <w:numPr>
          <w:ilvl w:val="0"/>
          <w:numId w:val="0"/>
        </w:numPr>
        <w:suppressLineNumbers w:val="0"/>
        <w:ind w:firstLine="643" w:firstLineChars="200"/>
        <w:jc w:val="left"/>
        <w:rPr>
          <w:rFonts w:hint="default"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第一条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为适应新时代经济社会发展对复合型人才培养的需求，提高本科人才培养质量，根据《国务院学位委员会关于印发〈学士学位授权与授予管理办法〉的通知》和《福建省学士学位授权与授予管理办法》等相关文件精神，学校决定在全日制本科教育中开设双学士学位复合型人才培养项目（以下简称“双学士学位项目”）。</w:t>
      </w:r>
      <w:r>
        <w:rPr>
          <w:rFonts w:hint="default" w:ascii="仿宋_GB2312" w:hAnsi="仿宋_GB2312" w:eastAsia="仿宋_GB2312" w:cs="仿宋_GB2312"/>
          <w:bCs/>
          <w:color w:val="000000" w:themeColor="text1"/>
          <w:sz w:val="32"/>
          <w:szCs w:val="32"/>
          <w:lang w:val="en-US" w:eastAsia="zh-CN"/>
          <w14:textFill>
            <w14:solidFill>
              <w14:schemeClr w14:val="tx1"/>
            </w14:solidFill>
          </w14:textFill>
        </w:rPr>
        <w:t>为规范双学士学位项目实施和学位授予等工作，特制定本办法。</w:t>
      </w:r>
    </w:p>
    <w:p w14:paraId="77C86669">
      <w:pPr>
        <w:spacing w:line="600" w:lineRule="exact"/>
        <w:ind w:firstLine="643"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第二条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双学士学位项目旨在培养学科交叉融合的创新复合型人才，所依托的本科专业均应具有博士学位授予权，且分属于两个不同的学科门类。</w:t>
      </w:r>
    </w:p>
    <w:p w14:paraId="52C8D238">
      <w:pPr>
        <w:spacing w:line="600" w:lineRule="exact"/>
        <w:ind w:firstLine="643"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第三条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双学士学位项目应符合学校办学及人才培养定位，依托学校特色优势学科专业，坚持高起点、高标准、高质量，具备良好的师资团队等办学条件。</w:t>
      </w:r>
    </w:p>
    <w:p w14:paraId="247E414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第二章 项目设置及培养方案</w:t>
      </w:r>
    </w:p>
    <w:p w14:paraId="0D9696F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第四条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学院依据经济社会发展需要、学科专业发展目标及办学条件等，经协商一致提出开设双学士学位项目的申请，经专家评审、学校学位评定委员会审议和校党委常委会审议等流程完成校内论证。论证通过的项目，学校上报福建省学位委员会审批，获批后实施。</w:t>
      </w:r>
    </w:p>
    <w:p w14:paraId="20F4758F">
      <w:pPr>
        <w:adjustRightInd w:val="0"/>
        <w:snapToGrid w:val="0"/>
        <w:spacing w:line="600" w:lineRule="exact"/>
        <w:ind w:firstLine="643" w:firstLineChars="200"/>
        <w:outlineLvl w:val="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第五条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w:t>
      </w:r>
      <w:r>
        <w:rPr>
          <w:rFonts w:hint="eastAsia" w:ascii="仿宋_GB2312" w:hAnsi="仿宋_GB2312" w:eastAsia="仿宋_GB2312" w:cs="仿宋_GB2312"/>
          <w:bCs/>
          <w:color w:val="000000" w:themeColor="text1"/>
          <w:sz w:val="32"/>
          <w:szCs w:val="32"/>
          <w14:textFill>
            <w14:solidFill>
              <w14:schemeClr w14:val="tx1"/>
            </w14:solidFill>
          </w14:textFill>
        </w:rPr>
        <w:t>学制</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Cs/>
          <w:color w:val="000000" w:themeColor="text1"/>
          <w:sz w:val="32"/>
          <w:szCs w:val="32"/>
          <w14:textFill>
            <w14:solidFill>
              <w14:schemeClr w14:val="tx1"/>
            </w14:solidFill>
          </w14:textFill>
        </w:rPr>
        <w:t>年，</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最长修读</w:t>
      </w:r>
      <w:r>
        <w:rPr>
          <w:rFonts w:hint="eastAsia" w:ascii="仿宋_GB2312" w:hAnsi="仿宋_GB2312" w:eastAsia="仿宋_GB2312" w:cs="仿宋_GB2312"/>
          <w:bCs/>
          <w:color w:val="000000" w:themeColor="text1"/>
          <w:sz w:val="32"/>
          <w:szCs w:val="32"/>
          <w14:textFill>
            <w14:solidFill>
              <w14:schemeClr w14:val="tx1"/>
            </w14:solidFill>
          </w14:textFill>
        </w:rPr>
        <w:t>年限</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不超过6</w:t>
      </w:r>
      <w:r>
        <w:rPr>
          <w:rFonts w:hint="eastAsia" w:ascii="仿宋_GB2312" w:hAnsi="仿宋_GB2312" w:eastAsia="仿宋_GB2312" w:cs="仿宋_GB2312"/>
          <w:bCs/>
          <w:color w:val="000000" w:themeColor="text1"/>
          <w:sz w:val="32"/>
          <w:szCs w:val="32"/>
          <w14:textFill>
            <w14:solidFill>
              <w14:schemeClr w14:val="tx1"/>
            </w14:solidFill>
          </w14:textFill>
        </w:rPr>
        <w:t>年</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含休学和保留学籍</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原则上总学分控制在180学分左右。项目中依托的第二主修专业培养要求不能降低，体现第二主修专业核心课程修读要求建议为30-40学分。</w:t>
      </w:r>
    </w:p>
    <w:p w14:paraId="1B0F5CB0">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第六条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双学士学位项目培养方案由两个专业共同拟订。</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原则上，通识教育部分应能满足任一主修专业培养方案的通识教育要求；专业培养部分应能同时满足两个主修专业的专业培养要求。</w:t>
      </w:r>
      <w:r>
        <w:rPr>
          <w:rFonts w:hint="eastAsia" w:ascii="仿宋_GB2312" w:hAnsi="仿宋_GB2312" w:eastAsia="仿宋_GB2312" w:cs="仿宋_GB2312"/>
          <w:b w:val="0"/>
          <w:bCs/>
          <w:color w:val="000000" w:themeColor="text1"/>
          <w:kern w:val="2"/>
          <w:sz w:val="32"/>
          <w:szCs w:val="32"/>
          <w:lang w:val="en-US" w:eastAsia="zh-CN" w:bidi="ar-SA"/>
          <w14:textFill>
            <w14:solidFill>
              <w14:schemeClr w14:val="tx1"/>
            </w14:solidFill>
          </w14:textFill>
        </w:rPr>
        <w:t>课程设置应在充分保留两个专业知识框架的基本轮廓、基本内涵的基础上，将两个专业的课程进行筛选和融合，设通识教育模块，专业核心课程模块（含第一专业核心课程、第二专业核心课程和学科交叉课程），以及限定性选修和拓展课程模块。</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原则上，体现两个依托专业或多专业交叉的高质量融合型课程的学分数应不少于10学分。</w:t>
      </w:r>
    </w:p>
    <w:p w14:paraId="70A2D690">
      <w:pPr>
        <w:pStyle w:val="7"/>
        <w:numPr>
          <w:ilvl w:val="0"/>
          <w:numId w:val="0"/>
        </w:numPr>
        <w:spacing w:line="520" w:lineRule="exact"/>
        <w:ind w:firstLine="643" w:firstLineChars="200"/>
        <w:rPr>
          <w:rFonts w:hint="eastAsia" w:ascii="仿宋_GB2312" w:hAnsi="宋体" w:eastAsia="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第七条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宋体" w:eastAsia="仿宋_GB2312"/>
          <w:b w:val="0"/>
          <w:bCs/>
          <w:color w:val="000000" w:themeColor="text1"/>
          <w:sz w:val="32"/>
          <w:szCs w:val="32"/>
          <w:lang w:val="en-US" w:eastAsia="zh-CN"/>
          <w14:textFill>
            <w14:solidFill>
              <w14:schemeClr w14:val="tx1"/>
            </w14:solidFill>
          </w14:textFill>
        </w:rPr>
        <w:t>双学士学位项目修读学生应同时参加两个专业实习实践环节，集中实习须参加第一主修专业的集中实习。</w:t>
      </w:r>
    </w:p>
    <w:p w14:paraId="7BF15DED">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第八条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毕业论文（设计）环节由第一专业所在学院参照《福建师范大学本科毕业设计（论文）管理办法》负责全流程管理和具体实施。毕业论文（设计）环节实行双导师制，要求完成能体现两个专业交叉的毕业论文（设计）。</w:t>
      </w:r>
    </w:p>
    <w:p w14:paraId="27E97767">
      <w:pPr>
        <w:adjustRightInd w:val="0"/>
        <w:snapToGrid w:val="0"/>
        <w:spacing w:line="600" w:lineRule="exact"/>
        <w:ind w:firstLine="643" w:firstLineChars="200"/>
        <w:outlineLvl w:val="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 xml:space="preserve">第九条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双学士学位项目培养方案应具有可操作性，各学期</w:t>
      </w:r>
      <w:r>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t>学分设置合理。建议学院做好双学士学位项目、单一专业、辅修专业和微专业培养方案之间的兼容性，保障双学士学位培养高质量开展。</w:t>
      </w:r>
    </w:p>
    <w:p w14:paraId="77CA4BEF">
      <w:pPr>
        <w:adjustRightInd w:val="0"/>
        <w:snapToGrid w:val="0"/>
        <w:spacing w:line="600" w:lineRule="exact"/>
        <w:ind w:firstLine="643" w:firstLineChars="200"/>
        <w:outlineLvl w:val="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双学士学位项目学生的日常管理原则上由第一主修专业所属院系负责。</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第一专业所在学院牵头设立双学士学位项目工作领导小组和教学管理团队，为项目配备具有正高级职称的项目负责人，负责人才培养方案的制定和实施，包括课程设置、教学任务落实、教学效果评估、毕业资格和学位授予资格初审等。</w:t>
      </w:r>
    </w:p>
    <w:p w14:paraId="19954ABA">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第三章 修读规定</w:t>
      </w:r>
    </w:p>
    <w:p w14:paraId="2C571B73">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第十一条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可通过高考招收学生，也可通过学生入学后遴选学生。项目在实施过程中实行学生动态调整机制，相关管理细则由两个专业所在学院共同制定，经教务处审核后，向学生公布实施。学院可根据专业特点制定双学位学生的选拔标准，并需及时将申请及退出双学位项目的学生名单报送至教务处。</w:t>
      </w:r>
    </w:p>
    <w:p w14:paraId="561F6A96">
      <w:pPr>
        <w:adjustRightInd w:val="0"/>
        <w:snapToGrid w:val="0"/>
        <w:spacing w:line="600" w:lineRule="exact"/>
        <w:ind w:firstLine="643" w:firstLineChars="200"/>
        <w:outlineLvl w:val="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第十二条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双学士学位项目学生可以申请转专业，按照学校相关规则及项目管理细则执行。</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学生如不能适应双学士学位项目培养模式可向所在学院申请退出，如未能达到双学士学位项目培养要求可由学院劝退，</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转入项目管理细则约定的主修专业学习。原则上，退出工作在每学期或每学年末进行，</w:t>
      </w:r>
      <w:r>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t>学院需做好学生动态进出后培养计划之间的衔接性</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工作</w:t>
      </w:r>
      <w:r>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t>。</w:t>
      </w:r>
    </w:p>
    <w:p w14:paraId="4904C8FA">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第十三条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学生因转专业或其他原因退出双学士学位项目的，其已修读课程的成绩和学分如实记载，课程替代与学分认定等按照学校相关规定执行。</w:t>
      </w:r>
    </w:p>
    <w:p w14:paraId="27C663C0">
      <w:pPr>
        <w:spacing w:line="600" w:lineRule="exact"/>
        <w:ind w:firstLine="643"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第十四条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双学士学位项目在读学生不允许申请辅修学位。</w:t>
      </w:r>
    </w:p>
    <w:p w14:paraId="76F833C6">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第四章 毕业资格审核与证书颁授</w:t>
      </w:r>
    </w:p>
    <w:p w14:paraId="043B7752">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第十五条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双学士学位项目学生的毕业资格及学位授予资格审核由项目涉及主修专业所属院系联合实施，审核建议结论由第一主修专业所属学院负责上报教务处。</w:t>
      </w:r>
    </w:p>
    <w:p w14:paraId="7AC48744">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第十六条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达到双学士学位项目培养方案规定的课程、学分、毕业要求的，只授予一本毕业证书，毕业证书上注明相关主修专业信息。达到双学士学位授予标准的，只授予一本学士学位证书，注明所授予的两个学士学位信息。</w:t>
      </w:r>
    </w:p>
    <w:p w14:paraId="5104D42B">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第十七条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在最长学习年限内，未达到双学士学位项目毕业和学位授予条件的，按照学校相关规定及项目管理细则执行。</w:t>
      </w:r>
    </w:p>
    <w:p w14:paraId="762519B5">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第五章 项目实施与监督</w:t>
      </w:r>
    </w:p>
    <w:p w14:paraId="431D54AA">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第十八条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双学士学位项目主修专业应加强对招生、培养、毕业等各环节的质量监督，第一主修</w:t>
      </w:r>
      <w:bookmarkStart w:id="0" w:name="_GoBack"/>
      <w:bookmarkEnd w:id="0"/>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专业为质量保障的责任主体，要确保人才培养质量。</w:t>
      </w:r>
    </w:p>
    <w:p w14:paraId="5FF780E7">
      <w:pPr>
        <w:adjustRightInd w:val="0"/>
        <w:snapToGrid w:val="0"/>
        <w:spacing w:line="600" w:lineRule="exact"/>
        <w:ind w:firstLine="643" w:firstLineChars="200"/>
        <w:outlineLvl w:val="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第十九条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双学士学位项目的评估和动态调整参照其他普通本科专业执行。</w:t>
      </w:r>
    </w:p>
    <w:p w14:paraId="1C67F4A3">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default"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第六章 附则</w:t>
      </w:r>
    </w:p>
    <w:p w14:paraId="64CBD943">
      <w:pPr>
        <w:spacing w:line="600" w:lineRule="exact"/>
        <w:ind w:firstLine="643"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第二十条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双学士学位项目按照第一主修专业的收费标准收取学费。其他未尽事宜按照《福建师范大学本科生学籍管理</w:t>
      </w:r>
    </w:p>
    <w:p w14:paraId="7E5F0C96">
      <w:pPr>
        <w:spacing w:line="600" w:lineRule="exact"/>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规定》和学校学士学位授予工作等相关实施办法执行。</w:t>
      </w:r>
    </w:p>
    <w:p w14:paraId="39432AD0">
      <w:pPr>
        <w:spacing w:line="600" w:lineRule="exact"/>
        <w:ind w:firstLine="643" w:firstLineChars="200"/>
        <w:rPr>
          <w:rFonts w:hint="default"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32"/>
          <w:szCs w:val="32"/>
          <w:lang w:val="en-US" w:eastAsia="zh-CN" w:bidi="ar-SA"/>
          <w14:textFill>
            <w14:solidFill>
              <w14:schemeClr w14:val="tx1"/>
            </w14:solidFill>
          </w14:textFill>
        </w:rPr>
        <w:t>第二十一条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本办法自颁布之日起施行，由教务处负责解释。</w:t>
      </w:r>
    </w:p>
    <w:p w14:paraId="1BF950AE">
      <w:pPr>
        <w:spacing w:line="600" w:lineRule="exact"/>
        <w:ind w:firstLine="640"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p>
    <w:p w14:paraId="1CC0DB32">
      <w:pPr>
        <w:spacing w:line="600" w:lineRule="exact"/>
        <w:ind w:firstLine="640" w:firstLineChars="200"/>
        <w:rPr>
          <w:rFonts w:hint="default" w:ascii="仿宋_GB2312" w:hAnsi="仿宋_GB2312" w:eastAsia="仿宋_GB2312" w:cs="仿宋_GB2312"/>
          <w:bCs/>
          <w:color w:val="000000" w:themeColor="text1"/>
          <w:sz w:val="32"/>
          <w:szCs w:val="32"/>
          <w:lang w:val="en-US" w:eastAsia="zh-CN"/>
          <w14:textFill>
            <w14:solidFill>
              <w14:schemeClr w14:val="tx1"/>
            </w14:solidFill>
          </w14:textFill>
        </w:rPr>
      </w:pPr>
    </w:p>
    <w:sectPr>
      <w:footerReference r:id="rId3" w:type="default"/>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4C48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DB19D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DB19D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120E84"/>
    <w:rsid w:val="02F04698"/>
    <w:rsid w:val="0728583C"/>
    <w:rsid w:val="090A7F2E"/>
    <w:rsid w:val="0C4900DF"/>
    <w:rsid w:val="0EF01C6F"/>
    <w:rsid w:val="0FBE5E38"/>
    <w:rsid w:val="16BF4D29"/>
    <w:rsid w:val="1AAD01B8"/>
    <w:rsid w:val="1B2357E4"/>
    <w:rsid w:val="219518C7"/>
    <w:rsid w:val="25F84E8B"/>
    <w:rsid w:val="2795216B"/>
    <w:rsid w:val="28B05D71"/>
    <w:rsid w:val="2BF5452C"/>
    <w:rsid w:val="310D5542"/>
    <w:rsid w:val="337A75B2"/>
    <w:rsid w:val="34131ABB"/>
    <w:rsid w:val="38120E84"/>
    <w:rsid w:val="3C236125"/>
    <w:rsid w:val="3D071AB0"/>
    <w:rsid w:val="426104C9"/>
    <w:rsid w:val="43A2114B"/>
    <w:rsid w:val="477F7B80"/>
    <w:rsid w:val="51B81D8A"/>
    <w:rsid w:val="57106B6D"/>
    <w:rsid w:val="57A308D3"/>
    <w:rsid w:val="59A9283E"/>
    <w:rsid w:val="5CEA4DC1"/>
    <w:rsid w:val="5FE66D9B"/>
    <w:rsid w:val="63673B1C"/>
    <w:rsid w:val="69246411"/>
    <w:rsid w:val="69B95123"/>
    <w:rsid w:val="7242215A"/>
    <w:rsid w:val="78E701EB"/>
    <w:rsid w:val="7DAA6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列表段落1"/>
    <w:basedOn w:val="1"/>
    <w:qFormat/>
    <w:uiPriority w:val="0"/>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2005</Words>
  <Characters>2012</Characters>
  <Lines>0</Lines>
  <Paragraphs>0</Paragraphs>
  <TotalTime>52</TotalTime>
  <ScaleCrop>false</ScaleCrop>
  <LinksUpToDate>false</LinksUpToDate>
  <CharactersWithSpaces>2039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2025-05-06T02:39:00Z</dcterms:created>
  <dc:creator>涂怡弘</dc:creator>
  <cp:lastModifiedBy>涂怡弘</cp:lastModifiedBy>
  <cp:lastPrinted>2025-05-14T01:21:00Z</cp:lastPrinted>
  <dcterms:modified xsi:type="dcterms:W3CDTF">2025-07-08T03:41:38Z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F68A63CB977448C8924FB1D40E8A614D_13</vt:lpwstr>
  </property>
  <property fmtid="{D5CDD505-2E9C-101B-9397-08002B2CF9AE}" pid="4" name="KSOTemplateDocerSaveRecord">
    <vt:lpwstr>eyJoZGlkIjoiMTI0ZGQwZDM4N2M4YjMxMGRlZTA4OTQwMmQ0NDE4YTMiLCJ1c2VySWQiOiI2NDI0MDg0NDQifQ==</vt:lpwstr>
  </property>
</Properties>
</file>