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eastAsia="黑体"/>
          <w:color w:val="FF0000"/>
          <w:sz w:val="48"/>
          <w:szCs w:val="48"/>
        </w:rPr>
      </w:pPr>
    </w:p>
    <w:p>
      <w:pPr>
        <w:spacing w:line="600" w:lineRule="exact"/>
        <w:jc w:val="center"/>
        <w:rPr>
          <w:rFonts w:hint="eastAsia" w:ascii="黑体" w:eastAsia="黑体"/>
          <w:color w:val="FF0000"/>
          <w:sz w:val="48"/>
          <w:szCs w:val="48"/>
        </w:rPr>
      </w:pPr>
    </w:p>
    <w:p>
      <w:pPr>
        <w:spacing w:line="600" w:lineRule="exact"/>
        <w:jc w:val="center"/>
        <w:rPr>
          <w:rFonts w:hint="eastAsia" w:ascii="黑体" w:eastAsia="黑体"/>
          <w:color w:val="FF0000"/>
          <w:sz w:val="48"/>
          <w:szCs w:val="48"/>
        </w:rPr>
      </w:pPr>
    </w:p>
    <w:p>
      <w:pPr>
        <w:spacing w:line="600" w:lineRule="exact"/>
        <w:jc w:val="center"/>
        <w:rPr>
          <w:rFonts w:hint="eastAsia" w:ascii="黑体" w:eastAsia="黑体"/>
          <w:color w:val="FF0000"/>
          <w:sz w:val="48"/>
          <w:szCs w:val="48"/>
        </w:rPr>
      </w:pPr>
    </w:p>
    <w:p>
      <w:pPr>
        <w:spacing w:line="600" w:lineRule="exact"/>
        <w:jc w:val="center"/>
        <w:rPr>
          <w:rFonts w:hint="eastAsia" w:ascii="黑体" w:eastAsia="黑体"/>
          <w:color w:val="FF0000"/>
          <w:sz w:val="48"/>
          <w:szCs w:val="48"/>
        </w:rPr>
      </w:pPr>
    </w:p>
    <w:p>
      <w:pPr>
        <w:jc w:val="center"/>
        <w:rPr>
          <w:rFonts w:ascii="仿宋_GB2312" w:eastAsia="仿宋_GB2312"/>
          <w:sz w:val="24"/>
          <w:szCs w:val="24"/>
        </w:rPr>
      </w:pPr>
      <w:bookmarkStart w:id="0" w:name="文件红头"/>
      <w:r>
        <w:rPr>
          <w:rFonts w:hint="eastAsia" w:ascii="方正小标宋简体" w:eastAsia="方正小标宋简体"/>
          <w:color w:val="FF0000"/>
          <w:spacing w:val="60"/>
          <w:sz w:val="76"/>
          <w:szCs w:val="76"/>
        </w:rPr>
        <w:t>福建师范大学教务处</w:t>
      </w:r>
      <w:bookmarkEnd w:id="0"/>
    </w:p>
    <w:p>
      <w:pPr>
        <w:spacing w:line="1200" w:lineRule="exact"/>
        <w:jc w:val="center"/>
        <w:rPr>
          <w:rFonts w:ascii="仿宋_GB2312" w:eastAsia="仿宋_GB2312"/>
          <w:sz w:val="28"/>
          <w:szCs w:val="28"/>
        </w:rPr>
      </w:pPr>
      <w:r>
        <w:rPr>
          <w:sz w:val="32"/>
          <w:szCs w:val="32"/>
        </w:rPr>
        <mc:AlternateContent>
          <mc:Choice Requires="wps">
            <w:drawing>
              <wp:anchor distT="0" distB="0" distL="114300" distR="114300" simplePos="0" relativeHeight="251660288" behindDoc="0" locked="0" layoutInCell="1" allowOverlap="1">
                <wp:simplePos x="0" y="0"/>
                <wp:positionH relativeFrom="column">
                  <wp:posOffset>-346075</wp:posOffset>
                </wp:positionH>
                <wp:positionV relativeFrom="paragraph">
                  <wp:posOffset>687070</wp:posOffset>
                </wp:positionV>
                <wp:extent cx="5666105" cy="0"/>
                <wp:effectExtent l="0" t="25400" r="10795" b="31750"/>
                <wp:wrapNone/>
                <wp:docPr id="1" name="直接连接符 1"/>
                <wp:cNvGraphicFramePr/>
                <a:graphic xmlns:a="http://schemas.openxmlformats.org/drawingml/2006/main">
                  <a:graphicData uri="http://schemas.microsoft.com/office/word/2010/wordprocessingShape">
                    <wps:wsp>
                      <wps:cNvCnPr/>
                      <wps:spPr>
                        <a:xfrm>
                          <a:off x="0" y="0"/>
                          <a:ext cx="5666105" cy="0"/>
                        </a:xfrm>
                        <a:prstGeom prst="line">
                          <a:avLst/>
                        </a:prstGeom>
                        <a:ln w="508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27.25pt;margin-top:54.1pt;height:0pt;width:446.15pt;z-index:251660288;mso-width-relative:page;mso-height-relative:page;" filled="f" stroked="t" coordsize="21600,21600" o:gfxdata="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4YR861gAAAAsBAAAPAAAAAAAAAAEAIAAAACIAAABkcnMvZG93bnJldi54bWxQSwEC&#10;FAAUAAAACACHTuJA+Z44JPYBAADlAwAADgAAAAAAAAABACAAAAAlAQAAZHJzL2Uyb0RvYy54bWxQ&#10;SwUGAAAAAAYABgBZAQAAjQUAAAAA&#10;">
                <v:fill on="f" focussize="0,0"/>
                <v:stroke weight="4pt" color="#FF0000" joinstyle="round"/>
                <v:imagedata o:title=""/>
                <o:lock v:ext="edit" aspectratio="f"/>
              </v:line>
            </w:pict>
          </mc:Fallback>
        </mc:AlternateContent>
      </w:r>
      <w:r>
        <w:rPr>
          <w:rFonts w:hint="eastAsia" w:ascii="仿宋_GB2312" w:eastAsia="仿宋_GB2312"/>
          <w:sz w:val="32"/>
          <w:szCs w:val="32"/>
        </w:rPr>
        <w:t>师大教〔202</w:t>
      </w:r>
      <w:r>
        <w:rPr>
          <w:rFonts w:hint="eastAsia" w:ascii="仿宋_GB2312" w:eastAsia="仿宋_GB2312"/>
          <w:sz w:val="32"/>
          <w:szCs w:val="32"/>
          <w:lang w:val="en-US" w:eastAsia="zh-CN"/>
        </w:rPr>
        <w:t>1</w:t>
      </w: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号</w:t>
      </w:r>
    </w:p>
    <w:p>
      <w:pPr>
        <w:keepNext w:val="0"/>
        <w:keepLines w:val="0"/>
        <w:pageBreakBefore w:val="0"/>
        <w:widowControl/>
        <w:kinsoku/>
        <w:wordWrap/>
        <w:overflowPunct/>
        <w:topLinePunct w:val="0"/>
        <w:autoSpaceDE/>
        <w:autoSpaceDN/>
        <w:bidi w:val="0"/>
        <w:adjustRightInd/>
        <w:snapToGrid/>
        <w:spacing w:line="600" w:lineRule="exact"/>
        <w:ind w:firstLine="0"/>
        <w:jc w:val="center"/>
        <w:textAlignment w:val="auto"/>
        <w:rPr>
          <w:rFonts w:hint="eastAsia" w:ascii="方正小标宋简体" w:hAnsi="方正小标宋简体" w:eastAsia="方正小标宋简体" w:cs="方正小标宋简体"/>
          <w:b/>
          <w:bCs/>
          <w:color w:val="333333"/>
          <w:sz w:val="44"/>
          <w:szCs w:val="44"/>
          <w:lang w:eastAsia="zh-CN" w:bidi="ar-SA"/>
        </w:rPr>
      </w:pPr>
    </w:p>
    <w:p>
      <w:pPr>
        <w:keepNext w:val="0"/>
        <w:keepLines w:val="0"/>
        <w:pageBreakBefore w:val="0"/>
        <w:widowControl/>
        <w:kinsoku/>
        <w:wordWrap/>
        <w:overflowPunct/>
        <w:topLinePunct w:val="0"/>
        <w:autoSpaceDE/>
        <w:autoSpaceDN/>
        <w:bidi w:val="0"/>
        <w:adjustRightInd/>
        <w:snapToGrid/>
        <w:spacing w:line="600" w:lineRule="exact"/>
        <w:ind w:firstLine="0"/>
        <w:jc w:val="center"/>
        <w:textAlignment w:val="auto"/>
        <w:rPr>
          <w:rFonts w:hint="eastAsia" w:ascii="方正小标宋简体" w:hAnsi="方正小标宋简体" w:eastAsia="方正小标宋简体" w:cs="方正小标宋简体"/>
          <w:b/>
          <w:bCs/>
          <w:color w:val="333333"/>
          <w:sz w:val="44"/>
          <w:szCs w:val="44"/>
          <w:lang w:eastAsia="zh-CN" w:bidi="ar-SA"/>
        </w:rPr>
      </w:pPr>
    </w:p>
    <w:p>
      <w:pPr>
        <w:keepNext w:val="0"/>
        <w:keepLines w:val="0"/>
        <w:pageBreakBefore w:val="0"/>
        <w:widowControl w:val="0"/>
        <w:kinsoku/>
        <w:wordWrap/>
        <w:overflowPunct/>
        <w:topLinePunct w:val="0"/>
        <w:autoSpaceDE/>
        <w:autoSpaceDN/>
        <w:bidi w:val="0"/>
        <w:adjustRightInd/>
        <w:snapToGrid/>
        <w:spacing w:line="600" w:lineRule="exact"/>
        <w:ind w:firstLine="0"/>
        <w:jc w:val="center"/>
        <w:textAlignment w:val="auto"/>
        <w:rPr>
          <w:rFonts w:hint="eastAsia" w:ascii="方正小标宋简体" w:hAnsi="仿宋_GB2312" w:eastAsia="方正小标宋简体" w:cs="仿宋_GB2312"/>
          <w:kern w:val="2"/>
          <w:sz w:val="44"/>
          <w:szCs w:val="44"/>
          <w:lang w:eastAsia="zh-CN" w:bidi="ar-SA"/>
        </w:rPr>
      </w:pPr>
      <w:r>
        <w:rPr>
          <w:rFonts w:hint="eastAsia" w:ascii="方正小标宋简体" w:hAnsi="仿宋_GB2312" w:eastAsia="方正小标宋简体" w:cs="仿宋_GB2312"/>
          <w:kern w:val="2"/>
          <w:sz w:val="44"/>
          <w:szCs w:val="44"/>
          <w:lang w:eastAsia="zh-CN" w:bidi="ar-SA"/>
        </w:rPr>
        <w:t>关于做好2021年上半年教育类研究生和</w:t>
      </w:r>
    </w:p>
    <w:p>
      <w:pPr>
        <w:keepNext w:val="0"/>
        <w:keepLines w:val="0"/>
        <w:pageBreakBefore w:val="0"/>
        <w:widowControl w:val="0"/>
        <w:kinsoku/>
        <w:wordWrap/>
        <w:overflowPunct/>
        <w:topLinePunct w:val="0"/>
        <w:autoSpaceDE/>
        <w:autoSpaceDN/>
        <w:bidi w:val="0"/>
        <w:adjustRightInd/>
        <w:snapToGrid/>
        <w:spacing w:line="600" w:lineRule="exact"/>
        <w:ind w:firstLine="0"/>
        <w:jc w:val="center"/>
        <w:textAlignment w:val="auto"/>
        <w:rPr>
          <w:rFonts w:hint="eastAsia" w:ascii="方正小标宋简体" w:hAnsi="仿宋_GB2312" w:eastAsia="方正小标宋简体" w:cs="仿宋_GB2312"/>
          <w:kern w:val="2"/>
          <w:sz w:val="44"/>
          <w:szCs w:val="44"/>
          <w:lang w:eastAsia="zh-CN" w:bidi="ar-SA"/>
        </w:rPr>
      </w:pPr>
      <w:r>
        <w:rPr>
          <w:rFonts w:hint="eastAsia" w:ascii="方正小标宋简体" w:hAnsi="仿宋_GB2312" w:eastAsia="方正小标宋简体" w:cs="仿宋_GB2312"/>
          <w:kern w:val="2"/>
          <w:sz w:val="44"/>
          <w:szCs w:val="44"/>
          <w:lang w:eastAsia="zh-CN" w:bidi="ar-SA"/>
        </w:rPr>
        <w:t>公费师范生教育教学能力考核的通知</w:t>
      </w:r>
    </w:p>
    <w:p>
      <w:pPr>
        <w:shd w:val="clear" w:color="auto" w:fill="FFFFFF"/>
        <w:spacing w:line="520" w:lineRule="exact"/>
        <w:ind w:firstLine="0"/>
        <w:jc w:val="both"/>
        <w:textAlignment w:val="baseline"/>
        <w:rPr>
          <w:rFonts w:ascii="仿宋_GB2312" w:hAnsi="仿宋_GB2312" w:eastAsia="仿宋_GB2312" w:cs="仿宋_GB2312"/>
          <w:color w:val="000000"/>
          <w:sz w:val="32"/>
          <w:szCs w:val="32"/>
          <w:lang w:eastAsia="zh-CN" w:bidi="ar-SA"/>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000000"/>
          <w:sz w:val="32"/>
          <w:szCs w:val="32"/>
          <w:lang w:eastAsia="zh-CN" w:bidi="ar-SA"/>
        </w:rPr>
        <w:t>各相关学院：</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303030"/>
          <w:sz w:val="32"/>
          <w:szCs w:val="32"/>
          <w:lang w:eastAsia="zh-CN" w:bidi="ar-SA"/>
        </w:rPr>
        <w:t>为贯彻落实教育部《教育类研究生和公费师范生免试认定中小学教师资格改革实施方案》（教师函</w:t>
      </w:r>
      <w:r>
        <w:rPr>
          <w:rFonts w:hint="eastAsia" w:ascii="仿宋" w:hAnsi="仿宋" w:eastAsia="仿宋" w:cs="仿宋"/>
          <w:color w:val="000000"/>
          <w:sz w:val="32"/>
          <w:szCs w:val="32"/>
          <w:lang w:eastAsia="zh-CN" w:bidi="ar-SA"/>
        </w:rPr>
        <w:t>〔2020〕5号）精神，决定开展2021</w:t>
      </w:r>
      <w:r>
        <w:rPr>
          <w:rFonts w:hint="eastAsia" w:ascii="仿宋" w:hAnsi="仿宋" w:eastAsia="仿宋" w:cs="仿宋"/>
          <w:color w:val="000000"/>
          <w:sz w:val="32"/>
          <w:szCs w:val="32"/>
          <w:highlight w:val="none"/>
          <w:lang w:eastAsia="zh-CN" w:bidi="ar-SA"/>
        </w:rPr>
        <w:t>年</w:t>
      </w:r>
      <w:r>
        <w:rPr>
          <w:rFonts w:hint="eastAsia" w:ascii="仿宋" w:hAnsi="仿宋" w:eastAsia="仿宋" w:cs="仿宋"/>
          <w:color w:val="000000"/>
          <w:sz w:val="32"/>
          <w:szCs w:val="32"/>
          <w:lang w:eastAsia="zh-CN" w:bidi="ar-SA"/>
        </w:rPr>
        <w:t>上半年教育类研究生和公费师范生教育教学能力考核工作，现将有关事项通知如下:</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both"/>
        <w:textAlignment w:val="baseline"/>
        <w:rPr>
          <w:rFonts w:hint="eastAsia" w:ascii="黑体" w:hAnsi="黑体" w:eastAsia="黑体" w:cs="黑体"/>
          <w:color w:val="333333"/>
          <w:sz w:val="32"/>
          <w:szCs w:val="32"/>
          <w:lang w:eastAsia="zh-CN" w:bidi="ar-SA"/>
        </w:rPr>
      </w:pPr>
      <w:r>
        <w:rPr>
          <w:rFonts w:hint="eastAsia" w:ascii="黑体" w:hAnsi="黑体" w:eastAsia="黑体" w:cs="黑体"/>
          <w:b/>
          <w:bCs/>
          <w:color w:val="303030"/>
          <w:sz w:val="32"/>
          <w:szCs w:val="32"/>
          <w:lang w:eastAsia="zh-CN" w:bidi="ar-SA"/>
        </w:rPr>
        <w:t>一、</w:t>
      </w:r>
      <w:r>
        <w:rPr>
          <w:rFonts w:hint="eastAsia" w:ascii="黑体" w:hAnsi="黑体" w:eastAsia="黑体" w:cs="黑体"/>
          <w:b/>
          <w:bCs/>
          <w:color w:val="000000"/>
          <w:sz w:val="32"/>
          <w:szCs w:val="32"/>
          <w:lang w:eastAsia="zh-CN" w:bidi="ar-SA"/>
        </w:rPr>
        <w:t>考核对象</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303030"/>
          <w:sz w:val="32"/>
          <w:szCs w:val="32"/>
          <w:lang w:eastAsia="zh-CN" w:bidi="ar-SA"/>
        </w:rPr>
        <w:t>本次考核对象为</w:t>
      </w:r>
      <w:r>
        <w:rPr>
          <w:rFonts w:hint="eastAsia" w:ascii="仿宋" w:hAnsi="仿宋" w:eastAsia="仿宋" w:cs="仿宋"/>
          <w:color w:val="000000"/>
          <w:sz w:val="32"/>
          <w:szCs w:val="32"/>
          <w:lang w:eastAsia="zh-CN" w:bidi="ar-SA"/>
        </w:rPr>
        <w:t>教育类研究生</w:t>
      </w:r>
      <w:r>
        <w:rPr>
          <w:rFonts w:hint="eastAsia" w:ascii="仿宋" w:hAnsi="仿宋" w:eastAsia="仿宋" w:cs="仿宋"/>
          <w:color w:val="000000"/>
          <w:sz w:val="32"/>
          <w:szCs w:val="32"/>
          <w:highlight w:val="none"/>
          <w:lang w:eastAsia="zh-CN" w:bidi="ar-SA"/>
        </w:rPr>
        <w:t>毕业年级（2021届毕业生）</w:t>
      </w:r>
      <w:r>
        <w:rPr>
          <w:rFonts w:hint="eastAsia" w:ascii="仿宋" w:hAnsi="仿宋" w:eastAsia="仿宋" w:cs="仿宋"/>
          <w:color w:val="000000"/>
          <w:sz w:val="32"/>
          <w:szCs w:val="32"/>
          <w:lang w:eastAsia="zh-CN" w:bidi="ar-SA"/>
        </w:rPr>
        <w:t>和2017级公费师范生中未通过国家教师资格统一考试的学生。</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000000"/>
          <w:sz w:val="32"/>
          <w:szCs w:val="32"/>
          <w:lang w:eastAsia="zh-CN" w:bidi="ar-SA"/>
        </w:rPr>
        <w:t>其中，教育类研究生是指教育学学术学位研究生（专业代码0401）、教育专业学位研究生（专业代码0451）和汉语国际教育专业学位研究生（专业代码0453）。</w:t>
      </w:r>
      <w:r>
        <w:rPr>
          <w:rFonts w:hint="eastAsia" w:ascii="仿宋" w:hAnsi="仿宋" w:eastAsia="仿宋" w:cs="仿宋"/>
          <w:color w:val="303030"/>
          <w:sz w:val="32"/>
          <w:szCs w:val="32"/>
          <w:lang w:eastAsia="zh-CN" w:bidi="ar-SA"/>
        </w:rPr>
        <w:t>公费师范生是指与培养学校以及教育行政部门签订</w:t>
      </w:r>
      <w:r>
        <w:rPr>
          <w:rFonts w:hint="eastAsia" w:ascii="仿宋" w:hAnsi="仿宋" w:eastAsia="仿宋" w:cs="仿宋"/>
          <w:color w:val="000000"/>
          <w:sz w:val="32"/>
          <w:szCs w:val="32"/>
          <w:lang w:eastAsia="zh-CN" w:bidi="ar-SA"/>
        </w:rPr>
        <w:t>有效《师范生公费教育协议》，享受国家或地方师范生公费教育政策的师范生。</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000000"/>
          <w:sz w:val="32"/>
          <w:szCs w:val="32"/>
          <w:lang w:eastAsia="zh-CN" w:bidi="ar-SA"/>
        </w:rPr>
        <w:t>根据自愿原则，教育类研究生、公费师范生也可不参加此次学校教育教学能力考核，自行参加国家中小学教师资格考试，申请认定相应的教师资格。</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both"/>
        <w:textAlignment w:val="baseline"/>
        <w:rPr>
          <w:rFonts w:hint="eastAsia" w:ascii="黑体" w:hAnsi="黑体" w:eastAsia="黑体" w:cs="黑体"/>
          <w:b/>
          <w:bCs/>
          <w:color w:val="303030"/>
          <w:sz w:val="32"/>
          <w:szCs w:val="32"/>
          <w:lang w:eastAsia="zh-CN" w:bidi="ar-SA"/>
        </w:rPr>
      </w:pPr>
      <w:r>
        <w:rPr>
          <w:rFonts w:hint="eastAsia" w:ascii="黑体" w:hAnsi="黑体" w:eastAsia="黑体" w:cs="黑体"/>
          <w:b/>
          <w:bCs/>
          <w:color w:val="303030"/>
          <w:sz w:val="32"/>
          <w:szCs w:val="32"/>
          <w:lang w:eastAsia="zh-CN" w:bidi="ar-SA"/>
        </w:rPr>
        <w:t>二、考核可申请的任教学段和任教学科</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303030"/>
          <w:sz w:val="32"/>
          <w:szCs w:val="32"/>
          <w:lang w:eastAsia="zh-CN" w:bidi="ar-SA"/>
        </w:rPr>
        <w:t>根据所学专业的人才培养目标，公费师范生和</w:t>
      </w:r>
      <w:r>
        <w:rPr>
          <w:rFonts w:hint="eastAsia" w:ascii="仿宋" w:hAnsi="仿宋" w:eastAsia="仿宋" w:cs="仿宋"/>
          <w:color w:val="000000"/>
          <w:sz w:val="32"/>
          <w:szCs w:val="32"/>
          <w:lang w:eastAsia="zh-CN" w:bidi="ar-SA"/>
        </w:rPr>
        <w:t>教育类研究生可申请免试认定教师资格的任教学段及任教学科（详见附件1）。</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303030"/>
          <w:sz w:val="32"/>
          <w:szCs w:val="32"/>
          <w:lang w:eastAsia="zh-CN" w:bidi="ar-SA"/>
        </w:rPr>
        <w:t>公费师范生、教育类研究生申请规定任教学段和任教学科外的教师资格，需要自行参加国家中小学教师资格</w:t>
      </w:r>
      <w:r>
        <w:rPr>
          <w:rFonts w:hint="eastAsia" w:ascii="仿宋" w:hAnsi="仿宋" w:eastAsia="仿宋" w:cs="仿宋"/>
          <w:color w:val="000000"/>
          <w:sz w:val="32"/>
          <w:szCs w:val="32"/>
          <w:lang w:eastAsia="zh-CN" w:bidi="ar-SA"/>
        </w:rPr>
        <w:t>统一考试，申请认定相应的教师资格。</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both"/>
        <w:textAlignment w:val="baseline"/>
        <w:rPr>
          <w:rFonts w:hint="eastAsia" w:ascii="黑体" w:hAnsi="黑体" w:eastAsia="黑体" w:cs="黑体"/>
          <w:b/>
          <w:bCs/>
          <w:color w:val="303030"/>
          <w:sz w:val="32"/>
          <w:szCs w:val="32"/>
          <w:lang w:eastAsia="zh-CN" w:bidi="ar-SA"/>
        </w:rPr>
      </w:pPr>
      <w:r>
        <w:rPr>
          <w:rFonts w:hint="eastAsia" w:ascii="黑体" w:hAnsi="黑体" w:eastAsia="黑体" w:cs="黑体"/>
          <w:b/>
          <w:bCs/>
          <w:color w:val="303030"/>
          <w:sz w:val="32"/>
          <w:szCs w:val="32"/>
          <w:lang w:eastAsia="zh-CN" w:bidi="ar-SA"/>
        </w:rPr>
        <w:t>三、考核方式及内容</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师范生教育教学能力考核包括培养过程性考核和师范生教师职业能力测试。</w:t>
      </w:r>
    </w:p>
    <w:p>
      <w:pPr>
        <w:keepNext w:val="0"/>
        <w:keepLines w:val="0"/>
        <w:pageBreakBefore w:val="0"/>
        <w:widowControl/>
        <w:numPr>
          <w:ilvl w:val="0"/>
          <w:numId w:val="1"/>
        </w:numPr>
        <w:kinsoku/>
        <w:wordWrap/>
        <w:overflowPunct/>
        <w:topLinePunct w:val="0"/>
        <w:autoSpaceDE/>
        <w:autoSpaceDN/>
        <w:bidi w:val="0"/>
        <w:adjustRightInd/>
        <w:snapToGrid/>
        <w:spacing w:line="600" w:lineRule="exact"/>
        <w:ind w:firstLine="643" w:firstLineChars="200"/>
        <w:jc w:val="both"/>
        <w:rPr>
          <w:rFonts w:hint="eastAsia" w:ascii="楷体" w:hAnsi="楷体" w:eastAsia="楷体" w:cs="楷体"/>
          <w:b/>
          <w:sz w:val="32"/>
          <w:szCs w:val="32"/>
          <w:lang w:bidi="ar"/>
        </w:rPr>
      </w:pPr>
      <w:r>
        <w:rPr>
          <w:rFonts w:hint="eastAsia" w:ascii="楷体" w:hAnsi="楷体" w:eastAsia="楷体" w:cs="楷体"/>
          <w:b/>
          <w:sz w:val="32"/>
          <w:szCs w:val="32"/>
          <w:lang w:bidi="ar"/>
        </w:rPr>
        <w:t>培养过程性考核</w:t>
      </w:r>
    </w:p>
    <w:p>
      <w:pPr>
        <w:keepNext w:val="0"/>
        <w:keepLines w:val="0"/>
        <w:pageBreakBefore w:val="0"/>
        <w:widowControl/>
        <w:kinsoku/>
        <w:wordWrap/>
        <w:overflowPunct/>
        <w:topLinePunct w:val="0"/>
        <w:autoSpaceDE/>
        <w:autoSpaceDN/>
        <w:bidi w:val="0"/>
        <w:adjustRightInd/>
        <w:snapToGrid/>
        <w:spacing w:line="600" w:lineRule="exact"/>
        <w:jc w:val="both"/>
        <w:rPr>
          <w:rFonts w:hint="eastAsia" w:ascii="仿宋" w:hAnsi="仿宋" w:eastAsia="仿宋" w:cs="仿宋"/>
          <w:b/>
          <w:sz w:val="32"/>
          <w:szCs w:val="32"/>
          <w:lang w:eastAsia="zh-CN" w:bidi="ar"/>
        </w:rPr>
      </w:pPr>
      <w:r>
        <w:rPr>
          <w:rFonts w:hint="eastAsia" w:ascii="仿宋" w:hAnsi="仿宋" w:eastAsia="仿宋" w:cs="仿宋"/>
          <w:b/>
          <w:sz w:val="32"/>
          <w:szCs w:val="32"/>
          <w:lang w:eastAsia="zh-CN" w:bidi="ar"/>
        </w:rPr>
        <w:t xml:space="preserve">  </w:t>
      </w:r>
      <w:r>
        <w:rPr>
          <w:rFonts w:hint="eastAsia" w:ascii="仿宋" w:hAnsi="仿宋" w:eastAsia="仿宋" w:cs="仿宋"/>
          <w:sz w:val="32"/>
          <w:szCs w:val="32"/>
          <w:lang w:eastAsia="zh-CN" w:bidi="ar"/>
        </w:rPr>
        <w:t>培养过程性考核重点考核公费师范生和教育类研究生以下四方面内容。四项考核结果全部合格，方为培养过程性考核合格。</w:t>
      </w:r>
    </w:p>
    <w:p>
      <w:pPr>
        <w:keepNext w:val="0"/>
        <w:keepLines w:val="0"/>
        <w:pageBreakBefore w:val="0"/>
        <w:widowControl/>
        <w:kinsoku/>
        <w:wordWrap/>
        <w:overflowPunct/>
        <w:topLinePunct w:val="0"/>
        <w:autoSpaceDE/>
        <w:autoSpaceDN/>
        <w:bidi w:val="0"/>
        <w:adjustRightInd/>
        <w:snapToGrid/>
        <w:spacing w:line="600" w:lineRule="exact"/>
        <w:ind w:left="440" w:leftChars="200" w:firstLine="320" w:firstLineChars="1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1.思想品德及师德素养</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坚持师德为先，促进师范生践行师德规范，涵养教育情怀。全面考核思想品德及师德素养，师德考核实行一票否决制。</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考核由师范生培养学院（单位）具体组织实施。</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2.教师教育课程学业成绩</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以实践为导向，优化教师教育课程体系，加强教师教育课程建设。全面考核教师教育课程学习情况，人才培养方案中须设有教师教育课程，确保修读完成培养方案规定的教师教育课程，并全部通过考试或考核，达到教师教育课程标准要求。</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考核由师范生培养学院（单位）具体组织实施。</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3.教育实习实践</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加强实践教学，构建全方位教育实践内容体系，促进教育见习、教育实习、教育研习有机贯通。全面考核教育实习实践情况，确保教育实习时间累计不少于一学期。</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考核由师范生培养学院（单位）具体组织实施。</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4.专业能力及技能培训</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color w:val="F79646" w:themeColor="accent6"/>
          <w:sz w:val="32"/>
          <w:szCs w:val="32"/>
          <w:lang w:eastAsia="zh-CN" w:bidi="ar"/>
          <w14:textFill>
            <w14:solidFill>
              <w14:schemeClr w14:val="accent6"/>
            </w14:solidFill>
          </w14:textFill>
        </w:rPr>
      </w:pPr>
      <w:r>
        <w:rPr>
          <w:rFonts w:hint="eastAsia" w:ascii="仿宋" w:hAnsi="仿宋" w:eastAsia="仿宋" w:cs="仿宋"/>
          <w:sz w:val="32"/>
          <w:szCs w:val="32"/>
          <w:lang w:eastAsia="zh-CN" w:bidi="ar"/>
        </w:rPr>
        <w:t>坚持能力为重，开发教师专业能力系列课程，加强教学基本功及教学技能训练，提升教师专业能力。全面考核专业能力及技能培训情况，确保达到师范生教师职业能力标准。</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考核由师范生培养学院（单位）具体组织实施。</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3" w:firstLineChars="200"/>
        <w:jc w:val="both"/>
        <w:rPr>
          <w:rFonts w:hint="eastAsia" w:ascii="楷体" w:hAnsi="楷体" w:eastAsia="楷体" w:cs="楷体"/>
          <w:b/>
          <w:sz w:val="32"/>
          <w:szCs w:val="32"/>
          <w:lang w:eastAsia="zh-CN" w:bidi="ar"/>
        </w:rPr>
      </w:pPr>
      <w:r>
        <w:rPr>
          <w:rFonts w:hint="eastAsia" w:ascii="楷体" w:hAnsi="楷体" w:eastAsia="楷体" w:cs="楷体"/>
          <w:b/>
          <w:sz w:val="32"/>
          <w:szCs w:val="32"/>
          <w:lang w:eastAsia="zh-CN" w:bidi="ar"/>
        </w:rPr>
        <w:t>（二）师范生教师职业能力测试</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color w:val="000000"/>
          <w:sz w:val="32"/>
          <w:szCs w:val="32"/>
          <w:lang w:eastAsia="zh-CN" w:bidi="ar"/>
        </w:rPr>
      </w:pPr>
      <w:r>
        <w:rPr>
          <w:rFonts w:hint="eastAsia" w:ascii="仿宋" w:hAnsi="仿宋" w:eastAsia="仿宋" w:cs="仿宋"/>
          <w:color w:val="000000"/>
          <w:sz w:val="32"/>
          <w:szCs w:val="32"/>
          <w:lang w:eastAsia="zh-CN" w:bidi="ar"/>
        </w:rPr>
        <w:t>教师职业能力测试为根据教育部师范生教师职业能力标准要求、国家中小学教师资格考试标准和大纲，由学校统一组织的测试。测试分笔试与面试，笔试和面试考核结果合格，方为教师职业能力测试合格。</w:t>
      </w:r>
    </w:p>
    <w:p>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rPr>
          <w:rFonts w:hint="eastAsia" w:ascii="仿宋" w:hAnsi="仿宋" w:eastAsia="仿宋" w:cs="仿宋"/>
          <w:sz w:val="32"/>
          <w:szCs w:val="32"/>
          <w:lang w:eastAsia="zh-CN" w:bidi="ar"/>
        </w:rPr>
      </w:pPr>
      <w:r>
        <w:rPr>
          <w:rFonts w:hint="eastAsia" w:ascii="仿宋" w:hAnsi="仿宋" w:eastAsia="仿宋" w:cs="仿宋"/>
          <w:b/>
          <w:bCs/>
          <w:sz w:val="32"/>
          <w:szCs w:val="32"/>
          <w:lang w:eastAsia="zh-CN" w:bidi="ar"/>
        </w:rPr>
        <w:t>1.笔试</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笔试根据国家教师资格考试标准和大纲，笔试为教师职业能力综合测试，包含综合素质、教育知识和能力、学科知识和教学能力等，重点考查教育理论和学科知识在教学实施中的应用能力。笔试时间150 分钟，总分为 150 分，</w:t>
      </w:r>
      <w:r>
        <w:rPr>
          <w:rFonts w:hint="eastAsia" w:ascii="仿宋" w:hAnsi="仿宋" w:eastAsia="仿宋" w:cs="仿宋"/>
          <w:sz w:val="32"/>
          <w:szCs w:val="32"/>
          <w:lang w:val="en-US" w:eastAsia="zh-CN" w:bidi="ar"/>
        </w:rPr>
        <w:t>90分及以上合格</w:t>
      </w:r>
      <w:r>
        <w:rPr>
          <w:rFonts w:hint="eastAsia" w:ascii="仿宋" w:hAnsi="仿宋" w:eastAsia="仿宋" w:cs="仿宋"/>
          <w:sz w:val="32"/>
          <w:szCs w:val="32"/>
          <w:lang w:eastAsia="zh-CN" w:bidi="ar"/>
        </w:rPr>
        <w:t>。分类确定任教学段和学科笔试科目，具体详见附件2。笔试统一命题组织实施。命题专家应包含校内外教师教育专家、一线中小学教师和校长等。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对以初级中学教师、高级中学教师、中等职业学校教师为培养目标但所学专业没有明确教学学科和教学专业的教育类研究生和公费师范生（详见附件1），</w:t>
      </w:r>
      <w:r>
        <w:rPr>
          <w:rFonts w:hint="eastAsia" w:ascii="仿宋" w:hAnsi="仿宋" w:eastAsia="仿宋" w:cs="仿宋"/>
          <w:sz w:val="32"/>
          <w:szCs w:val="32"/>
          <w:lang w:eastAsia="zh-CN"/>
        </w:rPr>
        <w:t>应在学校组织的教育教学能力考核</w:t>
      </w:r>
      <w:r>
        <w:rPr>
          <w:rFonts w:hint="eastAsia" w:ascii="仿宋" w:hAnsi="仿宋" w:eastAsia="仿宋" w:cs="仿宋"/>
          <w:sz w:val="32"/>
          <w:szCs w:val="32"/>
          <w:lang w:eastAsia="zh-CN" w:bidi="ar"/>
        </w:rPr>
        <w:t>师范生教师职业能力测试</w:t>
      </w:r>
      <w:r>
        <w:rPr>
          <w:rFonts w:hint="eastAsia" w:ascii="仿宋" w:hAnsi="仿宋" w:eastAsia="仿宋" w:cs="仿宋"/>
          <w:sz w:val="32"/>
          <w:szCs w:val="32"/>
          <w:lang w:eastAsia="zh-CN"/>
        </w:rPr>
        <w:t>中加试“学科知识与教学能力”笔试。其中，</w:t>
      </w:r>
      <w:r>
        <w:rPr>
          <w:rFonts w:hint="eastAsia" w:ascii="仿宋" w:hAnsi="仿宋" w:eastAsia="仿宋" w:cs="仿宋"/>
          <w:sz w:val="32"/>
          <w:szCs w:val="32"/>
          <w:lang w:eastAsia="zh-CN" w:bidi="ar"/>
        </w:rPr>
        <w:t>若申请免试认定的学段和学科已在国家中小学教师资格考试笔试中开考的，</w:t>
      </w:r>
      <w:r>
        <w:rPr>
          <w:rFonts w:hint="eastAsia" w:ascii="仿宋" w:hAnsi="仿宋" w:eastAsia="仿宋" w:cs="仿宋"/>
          <w:sz w:val="32"/>
          <w:szCs w:val="32"/>
          <w:lang w:eastAsia="zh-CN"/>
        </w:rPr>
        <w:t>应参加国家中小学教师资格考试笔试“学科知识与教学能力”，</w:t>
      </w:r>
      <w:r>
        <w:rPr>
          <w:rFonts w:hint="eastAsia" w:ascii="仿宋" w:hAnsi="仿宋" w:eastAsia="仿宋" w:cs="仿宋"/>
          <w:sz w:val="32"/>
          <w:szCs w:val="32"/>
          <w:lang w:eastAsia="zh-CN" w:bidi="ar"/>
        </w:rPr>
        <w:t>凭“学科知识与教学能力”笔试合格成绩报名；若申请免试认定的学段和学科未在国家中小学教师资格考试笔试中统一开考的，需在学校教师职业能力测试笔试中加试“学科知识与教学能力”。加试笔试的“学科知识与能力测试”，笔试时间120分钟，总分100分，</w:t>
      </w:r>
      <w:r>
        <w:rPr>
          <w:rFonts w:hint="eastAsia" w:ascii="仿宋" w:hAnsi="仿宋" w:eastAsia="仿宋" w:cs="仿宋"/>
          <w:sz w:val="32"/>
          <w:szCs w:val="32"/>
          <w:lang w:val="en-US" w:eastAsia="zh-CN" w:bidi="ar"/>
        </w:rPr>
        <w:t>60分及以上合格</w:t>
      </w:r>
      <w:r>
        <w:rPr>
          <w:rFonts w:hint="eastAsia" w:ascii="仿宋" w:hAnsi="仿宋" w:eastAsia="仿宋" w:cs="仿宋"/>
          <w:sz w:val="32"/>
          <w:szCs w:val="32"/>
          <w:lang w:eastAsia="zh-CN" w:bidi="ar"/>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bidi="ar"/>
        </w:rPr>
      </w:pPr>
      <w:r>
        <w:rPr>
          <w:rFonts w:hint="eastAsia" w:ascii="仿宋" w:hAnsi="仿宋" w:eastAsia="仿宋" w:cs="仿宋"/>
          <w:sz w:val="32"/>
          <w:szCs w:val="32"/>
          <w:lang w:eastAsia="zh-CN"/>
        </w:rPr>
        <w:t>对于已经参加了国家中小学教师资格考试笔试并且所有笔试科目均取得合格成绩的教育类研究生和公费师范生，如其参加的笔试学段和科目与所学专业培养目标、申请</w:t>
      </w:r>
      <w:r>
        <w:rPr>
          <w:rFonts w:hint="eastAsia" w:ascii="仿宋" w:hAnsi="仿宋" w:eastAsia="仿宋" w:cs="仿宋"/>
          <w:bCs/>
          <w:sz w:val="32"/>
          <w:szCs w:val="32"/>
          <w:lang w:eastAsia="zh-CN" w:bidi="ar"/>
        </w:rPr>
        <w:t>免试认定的任教学段和任教学科</w:t>
      </w:r>
      <w:r>
        <w:rPr>
          <w:rFonts w:hint="eastAsia" w:ascii="仿宋" w:hAnsi="仿宋" w:eastAsia="仿宋" w:cs="仿宋"/>
          <w:sz w:val="32"/>
          <w:szCs w:val="32"/>
          <w:lang w:eastAsia="zh-CN"/>
        </w:rPr>
        <w:t>一致，可视作教师职业能力测试笔试合格。</w:t>
      </w:r>
    </w:p>
    <w:p>
      <w:pPr>
        <w:keepNext w:val="0"/>
        <w:keepLines w:val="0"/>
        <w:pageBreakBefore w:val="0"/>
        <w:widowControl/>
        <w:kinsoku/>
        <w:wordWrap/>
        <w:overflowPunct/>
        <w:topLinePunct w:val="0"/>
        <w:autoSpaceDE/>
        <w:autoSpaceDN/>
        <w:bidi w:val="0"/>
        <w:adjustRightInd/>
        <w:snapToGrid/>
        <w:spacing w:line="600" w:lineRule="exact"/>
        <w:ind w:firstLine="643" w:firstLineChars="200"/>
        <w:jc w:val="both"/>
        <w:rPr>
          <w:rFonts w:hint="eastAsia" w:ascii="仿宋" w:hAnsi="仿宋" w:eastAsia="仿宋" w:cs="仿宋"/>
          <w:b/>
          <w:bCs/>
          <w:sz w:val="32"/>
          <w:szCs w:val="32"/>
          <w:lang w:eastAsia="zh-CN" w:bidi="ar"/>
        </w:rPr>
      </w:pPr>
      <w:r>
        <w:rPr>
          <w:rFonts w:hint="eastAsia" w:ascii="仿宋" w:hAnsi="仿宋" w:eastAsia="仿宋" w:cs="仿宋"/>
          <w:b/>
          <w:bCs/>
          <w:sz w:val="32"/>
          <w:szCs w:val="32"/>
          <w:lang w:eastAsia="zh-CN" w:bidi="ar"/>
        </w:rPr>
        <w:t>3.面试</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b/>
          <w:bCs/>
          <w:sz w:val="32"/>
          <w:szCs w:val="32"/>
          <w:lang w:eastAsia="zh-CN" w:bidi="ar"/>
        </w:rPr>
      </w:pPr>
      <w:r>
        <w:rPr>
          <w:rFonts w:hint="eastAsia" w:ascii="仿宋" w:hAnsi="仿宋" w:eastAsia="仿宋" w:cs="仿宋"/>
          <w:sz w:val="32"/>
          <w:szCs w:val="32"/>
          <w:lang w:eastAsia="zh-CN" w:bidi="ar"/>
        </w:rPr>
        <w:t>面试根据国家教师资格考试标准和大纲，主要考核学生教育教学实践能力，</w:t>
      </w:r>
      <w:r>
        <w:rPr>
          <w:rFonts w:hint="eastAsia" w:ascii="仿宋" w:hAnsi="仿宋" w:eastAsia="仿宋" w:cs="仿宋"/>
          <w:color w:val="000000"/>
          <w:sz w:val="32"/>
          <w:szCs w:val="32"/>
          <w:lang w:eastAsia="zh-CN" w:bidi="ar"/>
        </w:rPr>
        <w:t>分类确定任教学段面试科目,</w:t>
      </w:r>
      <w:r>
        <w:rPr>
          <w:rFonts w:hint="eastAsia" w:ascii="仿宋" w:hAnsi="仿宋" w:eastAsia="仿宋" w:cs="仿宋"/>
          <w:sz w:val="32"/>
          <w:szCs w:val="32"/>
          <w:lang w:eastAsia="zh-CN" w:bidi="ar"/>
        </w:rPr>
        <w:t>各学段和学科测试面试科目（见附件2）。面试</w:t>
      </w:r>
      <w:r>
        <w:rPr>
          <w:rFonts w:hint="eastAsia" w:ascii="仿宋" w:hAnsi="仿宋" w:eastAsia="仿宋" w:cs="仿宋"/>
          <w:sz w:val="32"/>
          <w:szCs w:val="32"/>
          <w:lang w:eastAsia="zh-CN"/>
        </w:rPr>
        <w:t>采用教学片断试讲、答辩方式考核：教育类研究生和公费师范生现场抽取与申请</w:t>
      </w:r>
      <w:r>
        <w:rPr>
          <w:rFonts w:hint="eastAsia" w:ascii="仿宋" w:hAnsi="仿宋" w:eastAsia="仿宋" w:cs="仿宋"/>
          <w:bCs/>
          <w:sz w:val="32"/>
          <w:szCs w:val="32"/>
          <w:lang w:eastAsia="zh-CN"/>
        </w:rPr>
        <w:t>免试认定的任教学段和任教学科一致的教学片断题目</w:t>
      </w:r>
      <w:r>
        <w:rPr>
          <w:rFonts w:hint="eastAsia" w:ascii="仿宋" w:hAnsi="仿宋" w:eastAsia="仿宋" w:cs="仿宋"/>
          <w:sz w:val="32"/>
          <w:szCs w:val="32"/>
          <w:lang w:eastAsia="zh-CN"/>
        </w:rPr>
        <w:t>进行试讲、答辩，时间控制在10分钟内，其中试讲时间控制在8分钟内、答辩控制2分钟内。</w:t>
      </w:r>
      <w:r>
        <w:rPr>
          <w:rFonts w:hint="eastAsia" w:ascii="仿宋" w:hAnsi="仿宋" w:eastAsia="仿宋" w:cs="仿宋"/>
          <w:bCs/>
          <w:sz w:val="32"/>
          <w:szCs w:val="32"/>
          <w:lang w:eastAsia="zh-CN"/>
        </w:rPr>
        <w:t>面试总分100分，</w:t>
      </w:r>
      <w:r>
        <w:rPr>
          <w:rFonts w:hint="eastAsia" w:ascii="仿宋" w:hAnsi="仿宋" w:eastAsia="仿宋" w:cs="仿宋"/>
          <w:bCs/>
          <w:sz w:val="32"/>
          <w:szCs w:val="32"/>
          <w:lang w:val="en-US" w:eastAsia="zh-CN"/>
        </w:rPr>
        <w:t>60分及以上合格</w:t>
      </w:r>
      <w:r>
        <w:rPr>
          <w:rFonts w:hint="eastAsia" w:ascii="仿宋" w:hAnsi="仿宋" w:eastAsia="仿宋" w:cs="仿宋"/>
          <w:bCs/>
          <w:sz w:val="32"/>
          <w:szCs w:val="32"/>
          <w:lang w:eastAsia="zh-CN"/>
        </w:rPr>
        <w:t>。</w:t>
      </w:r>
      <w:r>
        <w:rPr>
          <w:rFonts w:hint="eastAsia" w:ascii="仿宋" w:hAnsi="仿宋" w:eastAsia="仿宋" w:cs="仿宋"/>
          <w:sz w:val="32"/>
          <w:szCs w:val="32"/>
          <w:lang w:eastAsia="zh-CN"/>
        </w:rPr>
        <w:t>面试</w:t>
      </w:r>
      <w:r>
        <w:rPr>
          <w:rFonts w:hint="eastAsia" w:ascii="仿宋" w:hAnsi="仿宋" w:eastAsia="仿宋" w:cs="仿宋"/>
          <w:bCs/>
          <w:sz w:val="32"/>
          <w:szCs w:val="32"/>
          <w:lang w:eastAsia="zh-CN"/>
        </w:rPr>
        <w:t>考官根据考生面试过程中的表现，进行综合性评分。在学校协调下，由</w:t>
      </w:r>
      <w:r>
        <w:rPr>
          <w:rFonts w:hint="eastAsia" w:ascii="仿宋" w:hAnsi="仿宋" w:eastAsia="仿宋" w:cs="仿宋"/>
          <w:sz w:val="32"/>
          <w:szCs w:val="32"/>
          <w:lang w:eastAsia="zh-CN" w:bidi="ar"/>
        </w:rPr>
        <w:t>师范生培养学院（单位）负责相关学科面试的组织实施。</w:t>
      </w:r>
      <w:r>
        <w:rPr>
          <w:rFonts w:hint="eastAsia" w:ascii="仿宋" w:hAnsi="仿宋" w:eastAsia="仿宋" w:cs="仿宋"/>
          <w:sz w:val="32"/>
          <w:szCs w:val="32"/>
          <w:lang w:eastAsia="zh-CN"/>
        </w:rPr>
        <w:t>面试</w:t>
      </w:r>
      <w:r>
        <w:rPr>
          <w:rFonts w:hint="eastAsia" w:ascii="仿宋" w:hAnsi="仿宋" w:eastAsia="仿宋" w:cs="仿宋"/>
          <w:bCs/>
          <w:sz w:val="32"/>
          <w:szCs w:val="32"/>
          <w:lang w:eastAsia="zh-CN"/>
        </w:rPr>
        <w:t>考官</w:t>
      </w:r>
      <w:r>
        <w:rPr>
          <w:rFonts w:hint="eastAsia" w:ascii="仿宋" w:hAnsi="仿宋" w:eastAsia="仿宋" w:cs="仿宋"/>
          <w:sz w:val="32"/>
          <w:szCs w:val="32"/>
          <w:lang w:eastAsia="zh-CN" w:bidi="ar"/>
        </w:rPr>
        <w:t>应包含校内外教师教育专家、一线中小学教师和校长等。</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3" w:firstLineChars="200"/>
        <w:jc w:val="both"/>
        <w:rPr>
          <w:rFonts w:hint="eastAsia" w:ascii="楷体" w:hAnsi="楷体" w:eastAsia="楷体" w:cs="楷体"/>
          <w:b/>
          <w:sz w:val="32"/>
          <w:szCs w:val="32"/>
          <w:lang w:eastAsia="zh-CN" w:bidi="ar"/>
        </w:rPr>
      </w:pPr>
      <w:r>
        <w:rPr>
          <w:rFonts w:hint="eastAsia" w:ascii="楷体" w:hAnsi="楷体" w:eastAsia="楷体" w:cs="楷体"/>
          <w:b/>
          <w:sz w:val="32"/>
          <w:szCs w:val="32"/>
          <w:lang w:eastAsia="zh-CN" w:bidi="ar"/>
        </w:rPr>
        <w:t>（三）颁发《师范生教师职业能力证书》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rPr>
      </w:pPr>
      <w:r>
        <w:rPr>
          <w:rFonts w:hint="eastAsia" w:ascii="仿宋" w:hAnsi="仿宋" w:eastAsia="仿宋" w:cs="仿宋"/>
          <w:sz w:val="32"/>
          <w:szCs w:val="32"/>
          <w:lang w:eastAsia="zh-CN" w:bidi="ar"/>
        </w:rPr>
        <w:t>培养过程性考核和教师职业能力测试全部合格，方为师范生教育教学能力考核合格。考核通过后，由校长签发《师范生教师职业能力证书》，并加盖学校公章。《师范生教师职业能力证书》有效期3年，内容包含思想品德及师德情况、任教学段和任教科目、有效期起止时间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《师范生教师职业能力证书》是教育类研究生和公费师范生免试认定教师资格的依据，免试认定的教师资格种类和任教学科应与《师范生教师职业能力证书》上的任教学段和任教学科相同。</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教育类研究生和公费师范生在同一高等学校、同一学历层次学习期间，仅可获取一本《师范生教师职业能力证书》。《师范生教师职业能力证书》在有效期内只可使用一次，如申请认定其他学段和学科教师资格，不予免试，须参加国家中小学教师资格考试。</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sz w:val="32"/>
          <w:szCs w:val="32"/>
          <w:lang w:eastAsia="zh-CN" w:bidi="ar"/>
        </w:rPr>
      </w:pPr>
      <w:r>
        <w:rPr>
          <w:rFonts w:hint="eastAsia" w:ascii="仿宋" w:hAnsi="仿宋" w:eastAsia="仿宋" w:cs="仿宋"/>
          <w:sz w:val="32"/>
          <w:szCs w:val="32"/>
          <w:lang w:eastAsia="zh-CN" w:bidi="ar"/>
        </w:rPr>
        <w:t>取得《师范生教师职业能力证书》的教育类研究生和公费师范生，凭身份证明、学历证书、《师范生教师职业能力证书》、普通话水平测试等级证书、体检合格证明等材料申请认定相应的教师资格，认定程序不变。</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3" w:firstLineChars="200"/>
        <w:jc w:val="both"/>
        <w:textAlignment w:val="baseline"/>
        <w:rPr>
          <w:rFonts w:hint="eastAsia" w:ascii="黑体" w:hAnsi="黑体" w:eastAsia="黑体" w:cs="黑体"/>
          <w:b/>
          <w:bCs/>
          <w:color w:val="303030"/>
          <w:sz w:val="32"/>
          <w:szCs w:val="32"/>
          <w:lang w:eastAsia="zh-CN" w:bidi="ar-SA"/>
        </w:rPr>
      </w:pPr>
      <w:r>
        <w:rPr>
          <w:rFonts w:hint="eastAsia" w:ascii="黑体" w:hAnsi="黑体" w:eastAsia="黑体" w:cs="黑体"/>
          <w:b/>
          <w:bCs/>
          <w:color w:val="303030"/>
          <w:sz w:val="32"/>
          <w:szCs w:val="32"/>
          <w:lang w:eastAsia="zh-CN" w:bidi="ar-SA"/>
        </w:rPr>
        <w:t>四、考核工作安排</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3" w:firstLineChars="200"/>
        <w:jc w:val="both"/>
        <w:rPr>
          <w:rFonts w:hint="eastAsia" w:ascii="楷体" w:hAnsi="楷体" w:eastAsia="楷体" w:cs="楷体"/>
          <w:b/>
          <w:sz w:val="32"/>
          <w:szCs w:val="32"/>
          <w:lang w:eastAsia="zh-CN" w:bidi="ar"/>
        </w:rPr>
      </w:pPr>
      <w:r>
        <w:rPr>
          <w:rFonts w:hint="eastAsia" w:ascii="楷体" w:hAnsi="楷体" w:eastAsia="楷体" w:cs="楷体"/>
          <w:b/>
          <w:sz w:val="32"/>
          <w:szCs w:val="32"/>
          <w:lang w:eastAsia="zh-CN" w:bidi="ar"/>
        </w:rPr>
        <w:t>（一）各学院成立考核工作小组</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各学院考核工作小组主要负责本学院公费师范生和教育类研究生培养性过程考核的具体实施工作，以及相关学科的教师职业能力测试的具体实施工作。</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jc w:val="both"/>
        <w:rPr>
          <w:rFonts w:hint="eastAsia" w:ascii="仿宋" w:hAnsi="仿宋" w:eastAsia="仿宋" w:cs="仿宋"/>
          <w:color w:val="333333"/>
          <w:sz w:val="32"/>
          <w:szCs w:val="32"/>
          <w:lang w:eastAsia="zh-CN" w:bidi="ar-SA"/>
        </w:rPr>
      </w:pPr>
      <w:r>
        <w:rPr>
          <w:rFonts w:hint="eastAsia" w:ascii="仿宋" w:hAnsi="仿宋" w:eastAsia="仿宋" w:cs="仿宋"/>
          <w:color w:val="303030"/>
          <w:sz w:val="32"/>
          <w:szCs w:val="32"/>
          <w:lang w:eastAsia="zh-CN" w:bidi="ar-SA"/>
        </w:rPr>
        <w:t>请各相关学院</w:t>
      </w:r>
      <w:r>
        <w:rPr>
          <w:rFonts w:hint="eastAsia" w:ascii="仿宋" w:hAnsi="仿宋" w:eastAsia="仿宋" w:cs="仿宋"/>
          <w:color w:val="000000"/>
          <w:sz w:val="32"/>
          <w:szCs w:val="32"/>
          <w:lang w:eastAsia="zh-CN" w:bidi="ar-SA"/>
        </w:rPr>
        <w:t>3月20日前将考核工作小组成员名单及分工电子版发送至邮箱jxsxzx@fjnu.edu.cn。</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3" w:firstLineChars="200"/>
        <w:jc w:val="both"/>
        <w:rPr>
          <w:rFonts w:hint="eastAsia" w:ascii="楷体" w:hAnsi="楷体" w:eastAsia="楷体" w:cs="楷体"/>
          <w:b/>
          <w:sz w:val="32"/>
          <w:szCs w:val="32"/>
          <w:lang w:eastAsia="zh-CN" w:bidi="ar"/>
        </w:rPr>
      </w:pPr>
      <w:r>
        <w:rPr>
          <w:rFonts w:hint="eastAsia" w:ascii="楷体" w:hAnsi="楷体" w:eastAsia="楷体" w:cs="楷体"/>
          <w:b/>
          <w:sz w:val="32"/>
          <w:szCs w:val="32"/>
          <w:lang w:eastAsia="zh-CN" w:bidi="ar"/>
        </w:rPr>
        <w:t>（二）各学院组织学生报名</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303030"/>
          <w:sz w:val="32"/>
          <w:szCs w:val="32"/>
          <w:lang w:eastAsia="zh-CN" w:bidi="ar-SA"/>
        </w:rPr>
        <w:t>报名时间：</w:t>
      </w:r>
      <w:r>
        <w:rPr>
          <w:rFonts w:hint="eastAsia" w:ascii="仿宋" w:hAnsi="仿宋" w:eastAsia="仿宋" w:cs="仿宋"/>
          <w:color w:val="000000"/>
          <w:sz w:val="32"/>
          <w:szCs w:val="32"/>
          <w:lang w:eastAsia="zh-CN" w:bidi="ar-SA"/>
        </w:rPr>
        <w:t>2021年3月18日至3月</w:t>
      </w:r>
      <w:r>
        <w:rPr>
          <w:rFonts w:hint="eastAsia" w:ascii="仿宋" w:hAnsi="仿宋" w:eastAsia="仿宋" w:cs="仿宋"/>
          <w:color w:val="000000"/>
          <w:sz w:val="32"/>
          <w:szCs w:val="32"/>
          <w:lang w:val="en-US" w:eastAsia="zh-CN" w:bidi="ar-SA"/>
        </w:rPr>
        <w:t>20</w:t>
      </w:r>
      <w:r>
        <w:rPr>
          <w:rFonts w:hint="eastAsia" w:ascii="仿宋" w:hAnsi="仿宋" w:eastAsia="仿宋" w:cs="仿宋"/>
          <w:color w:val="000000"/>
          <w:sz w:val="32"/>
          <w:szCs w:val="32"/>
          <w:lang w:eastAsia="zh-CN" w:bidi="ar-SA"/>
        </w:rPr>
        <w:t>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303030"/>
          <w:sz w:val="32"/>
          <w:szCs w:val="32"/>
          <w:lang w:eastAsia="zh-CN" w:bidi="ar-SA"/>
        </w:rPr>
        <w:t>报名方式采用线下方式，由相关学院组织汇总。</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303030"/>
          <w:sz w:val="32"/>
          <w:szCs w:val="32"/>
          <w:lang w:eastAsia="zh-CN" w:bidi="ar-SA"/>
        </w:rPr>
        <w:t>报名有问题可办公时间联系22867439或22863813</w:t>
      </w:r>
      <w:r>
        <w:rPr>
          <w:rFonts w:hint="eastAsia" w:ascii="仿宋" w:hAnsi="仿宋" w:eastAsia="仿宋" w:cs="仿宋"/>
          <w:color w:val="000000"/>
          <w:sz w:val="32"/>
          <w:szCs w:val="32"/>
          <w:lang w:eastAsia="zh-CN" w:bidi="ar-SA"/>
        </w:rPr>
        <w:t>咨询。</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20"/>
        <w:jc w:val="both"/>
        <w:textAlignment w:val="baseline"/>
        <w:rPr>
          <w:rFonts w:hint="eastAsia" w:ascii="楷体" w:hAnsi="楷体" w:eastAsia="楷体" w:cs="楷体"/>
          <w:color w:val="333333"/>
          <w:sz w:val="32"/>
          <w:szCs w:val="32"/>
          <w:lang w:eastAsia="zh-CN" w:bidi="ar-SA"/>
        </w:rPr>
      </w:pPr>
      <w:r>
        <w:rPr>
          <w:rFonts w:hint="eastAsia" w:ascii="楷体" w:hAnsi="楷体" w:eastAsia="楷体" w:cs="楷体"/>
          <w:b/>
          <w:bCs/>
          <w:color w:val="303030"/>
          <w:sz w:val="32"/>
          <w:szCs w:val="32"/>
          <w:lang w:eastAsia="zh-CN" w:bidi="ar-SA"/>
        </w:rPr>
        <w:t>（三）各学院组织报名资格审核和培养过程性考核</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审核时间3月22日至24日。</w:t>
      </w:r>
    </w:p>
    <w:p>
      <w:pPr>
        <w:pStyle w:val="1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600" w:lineRule="exact"/>
        <w:ind w:firstLine="640" w:firstLineChars="200"/>
        <w:jc w:val="both"/>
        <w:rPr>
          <w:rFonts w:hint="eastAsia" w:ascii="仿宋" w:hAnsi="仿宋" w:eastAsia="仿宋" w:cs="仿宋"/>
          <w:color w:val="000000"/>
          <w:sz w:val="32"/>
          <w:szCs w:val="32"/>
        </w:rPr>
      </w:pPr>
      <w:r>
        <w:rPr>
          <w:rFonts w:hint="eastAsia" w:ascii="仿宋" w:hAnsi="仿宋" w:eastAsia="仿宋" w:cs="仿宋"/>
          <w:color w:val="000000"/>
          <w:sz w:val="32"/>
          <w:szCs w:val="32"/>
        </w:rPr>
        <w:t>各学院审核报名考生考核资格，</w:t>
      </w:r>
      <w:r>
        <w:rPr>
          <w:rFonts w:hint="eastAsia" w:ascii="仿宋" w:hAnsi="仿宋" w:eastAsia="仿宋" w:cs="仿宋"/>
          <w:color w:val="303030"/>
          <w:sz w:val="32"/>
          <w:szCs w:val="32"/>
          <w:shd w:val="clear" w:color="auto" w:fill="FFFFFF"/>
        </w:rPr>
        <w:t>符合条件的考生按照任教学段和任教学科，学院汇总填报《教育类研究生和公费师范生教育教学能力考核报名信息统计表》（</w:t>
      </w:r>
      <w:r>
        <w:rPr>
          <w:rStyle w:val="20"/>
          <w:rFonts w:hint="eastAsia" w:ascii="仿宋" w:hAnsi="仿宋" w:eastAsia="仿宋" w:cs="仿宋"/>
          <w:color w:val="303030"/>
          <w:sz w:val="32"/>
          <w:szCs w:val="32"/>
          <w:shd w:val="clear" w:color="auto" w:fill="FFFFFF"/>
        </w:rPr>
        <w:t>附件3</w:t>
      </w:r>
      <w:r>
        <w:rPr>
          <w:rFonts w:hint="eastAsia" w:ascii="仿宋" w:hAnsi="仿宋" w:eastAsia="仿宋" w:cs="仿宋"/>
          <w:color w:val="303030"/>
          <w:sz w:val="32"/>
          <w:szCs w:val="32"/>
          <w:shd w:val="clear" w:color="auto" w:fill="FFFFFF"/>
        </w:rPr>
        <w:t>）。其中，申请初级中学教师、高级中学教师、中等职业学校教师</w:t>
      </w:r>
      <w:r>
        <w:rPr>
          <w:rStyle w:val="20"/>
          <w:rFonts w:hint="eastAsia" w:ascii="仿宋" w:hAnsi="仿宋" w:eastAsia="仿宋" w:cs="仿宋"/>
          <w:color w:val="303030"/>
          <w:sz w:val="32"/>
          <w:szCs w:val="32"/>
          <w:shd w:val="clear" w:color="auto" w:fill="FFFFFF"/>
        </w:rPr>
        <w:t>但所学专业没有明确任教学科和教学专业的公费师范生和教育类研究生</w:t>
      </w:r>
      <w:r>
        <w:rPr>
          <w:rFonts w:hint="eastAsia" w:ascii="仿宋" w:hAnsi="仿宋" w:eastAsia="仿宋" w:cs="仿宋"/>
          <w:color w:val="303030"/>
          <w:sz w:val="32"/>
          <w:szCs w:val="32"/>
          <w:shd w:val="clear" w:color="auto" w:fill="FFFFFF"/>
        </w:rPr>
        <w:t>，须向学院提供“学科知识与教学能力”笔试合格成绩，学院填报《教育类研究生和公费师范生教育教学能力考核报名信息统计表（无明确任教学科）》（</w:t>
      </w:r>
      <w:r>
        <w:rPr>
          <w:rStyle w:val="20"/>
          <w:rFonts w:hint="eastAsia" w:ascii="仿宋" w:hAnsi="仿宋" w:eastAsia="仿宋" w:cs="仿宋"/>
          <w:color w:val="303030"/>
          <w:sz w:val="32"/>
          <w:szCs w:val="32"/>
          <w:shd w:val="clear" w:color="auto" w:fill="FFFFFF"/>
        </w:rPr>
        <w:t>附件4</w:t>
      </w:r>
      <w:r>
        <w:rPr>
          <w:rFonts w:hint="eastAsia" w:ascii="仿宋" w:hAnsi="仿宋" w:eastAsia="仿宋" w:cs="仿宋"/>
          <w:color w:val="303030"/>
          <w:sz w:val="32"/>
          <w:szCs w:val="32"/>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各学院对符合资格的考生进行培养过程性考核。考核结果记录在《师范生教育教学能力培养过程性考核登记表》（附件5）中。同时填报《师范生培养过程性考核结果汇总表》（附件6）。</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各学院请于2021年3月25日前将纸质版</w:t>
      </w:r>
      <w:r>
        <w:rPr>
          <w:rFonts w:hint="eastAsia" w:ascii="仿宋" w:hAnsi="仿宋" w:eastAsia="仿宋" w:cs="仿宋"/>
          <w:color w:val="303030"/>
          <w:sz w:val="32"/>
          <w:szCs w:val="32"/>
          <w:shd w:val="clear" w:color="auto" w:fill="FFFFFF"/>
          <w:lang w:eastAsia="zh-CN"/>
        </w:rPr>
        <w:t>《教育类研究生和公费师范生教育教学能力考核报名信息统计表》《</w:t>
      </w:r>
      <w:r>
        <w:rPr>
          <w:rFonts w:hint="eastAsia" w:ascii="仿宋" w:hAnsi="仿宋" w:eastAsia="仿宋" w:cs="仿宋"/>
          <w:color w:val="303030"/>
          <w:sz w:val="32"/>
          <w:szCs w:val="32"/>
          <w:shd w:val="clear" w:color="auto" w:fill="FFFFFF"/>
        </w:rPr>
        <w:t>教育类研究生和公费师范生教育教学能力考核报名信息统计表</w:t>
      </w:r>
      <w:r>
        <w:rPr>
          <w:rFonts w:hint="eastAsia" w:ascii="仿宋" w:hAnsi="仿宋" w:eastAsia="仿宋" w:cs="仿宋"/>
          <w:color w:val="303030"/>
          <w:sz w:val="32"/>
          <w:szCs w:val="32"/>
          <w:shd w:val="clear" w:color="auto" w:fill="FFFFFF"/>
          <w:lang w:eastAsia="zh-CN"/>
        </w:rPr>
        <w:t>（无明确任教学科）》</w:t>
      </w:r>
      <w:r>
        <w:rPr>
          <w:rFonts w:hint="eastAsia" w:ascii="仿宋" w:hAnsi="仿宋" w:eastAsia="仿宋" w:cs="仿宋"/>
          <w:color w:val="000000"/>
          <w:sz w:val="32"/>
          <w:szCs w:val="32"/>
          <w:lang w:eastAsia="zh-CN" w:bidi="ar-SA"/>
        </w:rPr>
        <w:t>《师范生教育教学能力培养过程性考核登记表》《师范生培养过程性考核结果汇总表》交至旗山校区行政楼310室，电子版发送至邮箱jxsxzx@fjnu.edu.cn。</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000000"/>
          <w:sz w:val="32"/>
          <w:szCs w:val="32"/>
          <w:lang w:val="en-US" w:eastAsia="zh-CN" w:bidi="ar-SA"/>
        </w:rPr>
        <w:t>报名资格审核和过程性培养考核合格的考生需提交个人电子照片，以身份证号命名，照片将用于准考证和教师职业能力证书。提交的照片要求近6个月以内、正面、白底证件照，照片中显示考生头部和肩的上部，不允许戴帽子、头巾、发带、墨镜；照片格式及大小：JPG/JPEG格式，不大于200K。各学院收集完学生电子照片，统一打包后，以学院名称命名文件夹，于2021年3月28前发</w:t>
      </w:r>
      <w:r>
        <w:rPr>
          <w:rFonts w:hint="eastAsia" w:ascii="仿宋" w:hAnsi="仿宋" w:eastAsia="仿宋" w:cs="仿宋"/>
          <w:color w:val="000000"/>
          <w:sz w:val="32"/>
          <w:szCs w:val="32"/>
          <w:lang w:eastAsia="zh-CN" w:bidi="ar-SA"/>
        </w:rPr>
        <w:t>至邮箱</w:t>
      </w:r>
      <w:r>
        <w:rPr>
          <w:rFonts w:hint="eastAsia" w:ascii="仿宋" w:hAnsi="仿宋" w:eastAsia="仿宋" w:cs="仿宋"/>
          <w:color w:val="000000"/>
          <w:sz w:val="32"/>
          <w:szCs w:val="32"/>
          <w:lang w:val="en-US" w:eastAsia="zh-CN" w:bidi="ar-SA"/>
        </w:rPr>
        <w:t>jxsxzx@fjnu.edu.cn</w:t>
      </w:r>
      <w:r>
        <w:rPr>
          <w:rFonts w:hint="eastAsia" w:ascii="仿宋" w:hAnsi="仿宋" w:eastAsia="仿宋" w:cs="仿宋"/>
          <w:color w:val="000000"/>
          <w:sz w:val="32"/>
          <w:szCs w:val="32"/>
          <w:lang w:eastAsia="zh-CN" w:bidi="ar-SA"/>
        </w:rPr>
        <w:t>。</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20"/>
        <w:jc w:val="both"/>
        <w:textAlignment w:val="baseline"/>
        <w:rPr>
          <w:rFonts w:hint="eastAsia" w:ascii="楷体" w:hAnsi="楷体" w:eastAsia="楷体" w:cs="楷体"/>
          <w:color w:val="333333"/>
          <w:sz w:val="32"/>
          <w:szCs w:val="32"/>
          <w:lang w:eastAsia="zh-CN" w:bidi="ar-SA"/>
        </w:rPr>
      </w:pPr>
      <w:r>
        <w:rPr>
          <w:rFonts w:hint="eastAsia" w:ascii="楷体" w:hAnsi="楷体" w:eastAsia="楷体" w:cs="楷体"/>
          <w:b/>
          <w:bCs/>
          <w:color w:val="303030"/>
          <w:sz w:val="32"/>
          <w:szCs w:val="32"/>
          <w:lang w:eastAsia="zh-CN" w:bidi="ar-SA"/>
        </w:rPr>
        <w:t>（四）组织教师职业能力测试</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303030"/>
          <w:sz w:val="32"/>
          <w:szCs w:val="32"/>
          <w:lang w:eastAsia="zh-CN" w:bidi="ar-SA"/>
        </w:rPr>
        <w:t>教师职业能力测试笔试拟定于</w:t>
      </w:r>
      <w:r>
        <w:rPr>
          <w:rFonts w:hint="eastAsia" w:ascii="仿宋" w:hAnsi="仿宋" w:eastAsia="仿宋" w:cs="仿宋"/>
          <w:color w:val="000000"/>
          <w:sz w:val="32"/>
          <w:szCs w:val="32"/>
          <w:lang w:eastAsia="zh-CN" w:bidi="ar-SA"/>
        </w:rPr>
        <w:t>2021年4月10日（周六）进行，面试拟定于2021年4月11日进行。具体工作安排及考场安排另行通知。考场安排由各学院于考前两天通知学生。</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20"/>
        <w:jc w:val="both"/>
        <w:textAlignment w:val="baseline"/>
        <w:rPr>
          <w:rFonts w:hint="eastAsia" w:ascii="楷体" w:hAnsi="楷体" w:eastAsia="楷体" w:cs="楷体"/>
          <w:color w:val="333333"/>
          <w:sz w:val="32"/>
          <w:szCs w:val="32"/>
          <w:lang w:eastAsia="zh-CN" w:bidi="ar-SA"/>
        </w:rPr>
      </w:pPr>
      <w:r>
        <w:rPr>
          <w:rFonts w:hint="eastAsia" w:ascii="楷体" w:hAnsi="楷体" w:eastAsia="楷体" w:cs="楷体"/>
          <w:b/>
          <w:bCs/>
          <w:color w:val="303030"/>
          <w:sz w:val="32"/>
          <w:szCs w:val="32"/>
          <w:lang w:eastAsia="zh-CN" w:bidi="ar-SA"/>
        </w:rPr>
        <w:t>（五）</w:t>
      </w:r>
      <w:r>
        <w:rPr>
          <w:rFonts w:hint="eastAsia" w:ascii="楷体" w:hAnsi="楷体" w:eastAsia="楷体" w:cs="楷体"/>
          <w:b/>
          <w:bCs/>
          <w:color w:val="000000"/>
          <w:sz w:val="32"/>
          <w:szCs w:val="32"/>
          <w:lang w:eastAsia="zh-CN" w:bidi="ar-SA"/>
        </w:rPr>
        <w:t>汇总数据上报</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303030"/>
          <w:sz w:val="32"/>
          <w:szCs w:val="32"/>
          <w:lang w:eastAsia="zh-CN" w:bidi="ar-SA"/>
        </w:rPr>
        <w:t>教务处、研究生院</w:t>
      </w:r>
      <w:r>
        <w:rPr>
          <w:rFonts w:hint="eastAsia" w:ascii="仿宋" w:hAnsi="仿宋" w:eastAsia="仿宋" w:cs="仿宋"/>
          <w:color w:val="000000"/>
          <w:sz w:val="32"/>
          <w:szCs w:val="32"/>
          <w:lang w:eastAsia="zh-CN" w:bidi="ar-SA"/>
        </w:rPr>
        <w:t>负责在高等教育学籍学历信息管理平台，及时准确维护教育类研究生专业信息，标记并动态维护公费师范生信息。负责按要求将考核合格，获得《师范生教师职业能力证书》的教育类研究生和公费师范生汇总信息上报和上级教育行政部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eastAsia="zh-CN" w:bidi="ar-SA"/>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val="en-US" w:eastAsia="zh-CN" w:bidi="ar-SA"/>
        </w:rPr>
      </w:pPr>
      <w:r>
        <w:rPr>
          <w:rFonts w:hint="eastAsia" w:ascii="仿宋" w:hAnsi="仿宋" w:eastAsia="仿宋" w:cs="仿宋"/>
          <w:color w:val="000000"/>
          <w:sz w:val="32"/>
          <w:szCs w:val="32"/>
          <w:lang w:val="en-US" w:eastAsia="zh-CN" w:bidi="ar-SA"/>
        </w:rPr>
        <w:t>附件：1.公费师范生和教育类研究生报名教育教学能力考核学段学科对照表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val="en-US" w:eastAsia="zh-CN" w:bidi="ar-SA"/>
        </w:rPr>
      </w:pPr>
      <w:r>
        <w:rPr>
          <w:rFonts w:hint="eastAsia" w:ascii="仿宋" w:hAnsi="仿宋" w:eastAsia="仿宋" w:cs="仿宋"/>
          <w:color w:val="000000"/>
          <w:sz w:val="32"/>
          <w:szCs w:val="32"/>
          <w:lang w:val="en-US" w:eastAsia="zh-CN" w:bidi="ar-SA"/>
        </w:rPr>
        <w:t>2.教育类研究生和公费师范生教师职业能力测试笔试和面试具体科目</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default" w:ascii="仿宋" w:hAnsi="仿宋" w:eastAsia="仿宋" w:cs="仿宋"/>
          <w:color w:val="000000"/>
          <w:sz w:val="32"/>
          <w:szCs w:val="32"/>
          <w:lang w:val="en-US" w:eastAsia="zh-CN" w:bidi="ar-SA"/>
        </w:rPr>
      </w:pPr>
      <w:r>
        <w:rPr>
          <w:rFonts w:hint="eastAsia" w:ascii="仿宋" w:hAnsi="仿宋" w:eastAsia="仿宋" w:cs="仿宋"/>
          <w:color w:val="000000"/>
          <w:sz w:val="32"/>
          <w:szCs w:val="32"/>
          <w:lang w:val="en-US" w:eastAsia="zh-CN" w:bidi="ar-SA"/>
        </w:rPr>
        <w:t>3.</w:t>
      </w:r>
      <w:r>
        <w:rPr>
          <w:rFonts w:hint="default" w:ascii="仿宋" w:hAnsi="仿宋" w:eastAsia="仿宋" w:cs="仿宋"/>
          <w:color w:val="000000"/>
          <w:sz w:val="32"/>
          <w:szCs w:val="32"/>
          <w:lang w:val="en-US" w:eastAsia="zh-CN" w:bidi="ar-SA"/>
        </w:rPr>
        <w:t>教育类研究生和公费师范生教育教学能力考核报名信息统计表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val="en-US" w:eastAsia="zh-CN" w:bidi="ar-SA"/>
        </w:rPr>
      </w:pPr>
      <w:r>
        <w:rPr>
          <w:rFonts w:hint="eastAsia" w:ascii="仿宋" w:hAnsi="仿宋" w:eastAsia="仿宋" w:cs="仿宋"/>
          <w:color w:val="000000"/>
          <w:sz w:val="32"/>
          <w:szCs w:val="32"/>
          <w:lang w:val="en-US" w:eastAsia="zh-CN" w:bidi="ar-SA"/>
        </w:rPr>
        <w:t>4.教育类研究生和公费师范生报名教育教学能力考核信息统计表（无明确任教学科）</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val="en-US" w:eastAsia="zh-Hans" w:bidi="ar-SA"/>
        </w:rPr>
      </w:pPr>
      <w:r>
        <w:rPr>
          <w:rFonts w:hint="eastAsia" w:ascii="仿宋" w:hAnsi="仿宋" w:eastAsia="仿宋" w:cs="仿宋"/>
          <w:color w:val="000000"/>
          <w:sz w:val="32"/>
          <w:szCs w:val="32"/>
          <w:lang w:val="en-US" w:eastAsia="zh-CN" w:bidi="ar-SA"/>
        </w:rPr>
        <w:t>5.师范生</w:t>
      </w:r>
      <w:r>
        <w:rPr>
          <w:rFonts w:hint="eastAsia" w:ascii="仿宋" w:hAnsi="仿宋" w:eastAsia="仿宋" w:cs="仿宋"/>
          <w:color w:val="000000"/>
          <w:sz w:val="32"/>
          <w:szCs w:val="32"/>
          <w:lang w:val="en-US" w:eastAsia="zh-Hans" w:bidi="ar-SA"/>
        </w:rPr>
        <w:t>教育教学能力</w:t>
      </w:r>
      <w:r>
        <w:rPr>
          <w:rFonts w:hint="eastAsia" w:ascii="仿宋" w:hAnsi="仿宋" w:eastAsia="仿宋" w:cs="仿宋"/>
          <w:color w:val="000000"/>
          <w:sz w:val="32"/>
          <w:szCs w:val="32"/>
          <w:lang w:val="en-US" w:eastAsia="zh-CN" w:bidi="ar-SA"/>
        </w:rPr>
        <w:t>培养</w:t>
      </w:r>
      <w:r>
        <w:rPr>
          <w:rFonts w:hint="eastAsia" w:ascii="仿宋" w:hAnsi="仿宋" w:eastAsia="仿宋" w:cs="仿宋"/>
          <w:color w:val="000000"/>
          <w:sz w:val="32"/>
          <w:szCs w:val="32"/>
          <w:lang w:val="en-US" w:eastAsia="zh-Hans" w:bidi="ar-SA"/>
        </w:rPr>
        <w:t>过程性考核</w:t>
      </w:r>
      <w:r>
        <w:rPr>
          <w:rFonts w:hint="eastAsia" w:ascii="仿宋" w:hAnsi="仿宋" w:eastAsia="仿宋" w:cs="仿宋"/>
          <w:color w:val="000000"/>
          <w:sz w:val="32"/>
          <w:szCs w:val="32"/>
          <w:lang w:val="en-US" w:eastAsia="zh-CN" w:bidi="ar-SA"/>
        </w:rPr>
        <w:t>登记</w:t>
      </w:r>
      <w:r>
        <w:rPr>
          <w:rFonts w:hint="eastAsia" w:ascii="仿宋" w:hAnsi="仿宋" w:eastAsia="仿宋" w:cs="仿宋"/>
          <w:color w:val="000000"/>
          <w:sz w:val="32"/>
          <w:szCs w:val="32"/>
          <w:lang w:val="en-US" w:eastAsia="zh-Hans" w:bidi="ar-SA"/>
        </w:rPr>
        <w:t>表</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000000"/>
          <w:sz w:val="32"/>
          <w:szCs w:val="32"/>
          <w:lang w:val="en-US" w:eastAsia="zh-CN" w:bidi="ar-SA"/>
        </w:rPr>
        <w:t>6.</w:t>
      </w:r>
      <w:r>
        <w:rPr>
          <w:rFonts w:hint="eastAsia" w:ascii="仿宋" w:hAnsi="仿宋" w:eastAsia="仿宋" w:cs="仿宋"/>
          <w:color w:val="000000"/>
          <w:sz w:val="32"/>
          <w:szCs w:val="32"/>
          <w:lang w:eastAsia="zh-CN" w:bidi="ar-SA"/>
        </w:rPr>
        <w:t>师范生培养过程性考核结果汇总表</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00" w:lineRule="exact"/>
        <w:ind w:firstLine="640" w:firstLineChars="200"/>
        <w:jc w:val="both"/>
        <w:textAlignment w:val="baseline"/>
        <w:rPr>
          <w:rFonts w:hint="default" w:ascii="仿宋" w:hAnsi="仿宋" w:eastAsia="仿宋" w:cs="仿宋"/>
          <w:color w:val="000000"/>
          <w:sz w:val="32"/>
          <w:szCs w:val="32"/>
          <w:lang w:val="en-US" w:eastAsia="zh-CN" w:bidi="ar-SA"/>
        </w:rPr>
      </w:pP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2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000000"/>
          <w:sz w:val="32"/>
          <w:szCs w:val="32"/>
          <w:lang w:eastAsia="zh-CN" w:bidi="ar-SA"/>
        </w:rPr>
        <w:t>         </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20"/>
        <w:jc w:val="both"/>
        <w:textAlignment w:val="baseline"/>
        <w:rPr>
          <w:rFonts w:hint="eastAsia" w:ascii="仿宋" w:hAnsi="仿宋" w:eastAsia="仿宋" w:cs="仿宋"/>
          <w:color w:val="000000"/>
          <w:sz w:val="32"/>
          <w:szCs w:val="32"/>
          <w:lang w:eastAsia="zh-CN" w:bidi="ar-SA"/>
        </w:rPr>
      </w:pPr>
      <w:r>
        <w:rPr>
          <w:rFonts w:hint="eastAsia" w:ascii="仿宋" w:hAnsi="仿宋" w:eastAsia="仿宋" w:cs="仿宋"/>
          <w:color w:val="000000"/>
          <w:sz w:val="32"/>
          <w:szCs w:val="32"/>
          <w:lang w:eastAsia="zh-CN" w:bidi="ar-SA"/>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1161" w:firstLineChars="363"/>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000000"/>
          <w:sz w:val="32"/>
          <w:szCs w:val="32"/>
          <w:lang w:eastAsia="zh-CN" w:bidi="ar-SA"/>
        </w:rPr>
        <w:t>教务处（教师教育教学技能实训中心）</w:t>
      </w:r>
      <w:r>
        <w:rPr>
          <w:rFonts w:hint="eastAsia" w:ascii="仿宋" w:hAnsi="仿宋" w:eastAsia="仿宋" w:cs="仿宋"/>
          <w:color w:val="000000"/>
          <w:sz w:val="32"/>
          <w:szCs w:val="32"/>
          <w:lang w:val="en-US" w:eastAsia="zh-CN" w:bidi="ar-SA"/>
        </w:rPr>
        <w:t xml:space="preserve">  </w:t>
      </w:r>
      <w:r>
        <w:rPr>
          <w:rFonts w:hint="eastAsia" w:ascii="仿宋" w:hAnsi="仿宋" w:eastAsia="仿宋" w:cs="仿宋"/>
          <w:color w:val="000000"/>
          <w:sz w:val="32"/>
          <w:szCs w:val="32"/>
          <w:lang w:eastAsia="zh-CN" w:bidi="ar-SA"/>
        </w:rPr>
        <w:t>研究生院</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420"/>
        <w:jc w:val="both"/>
        <w:textAlignment w:val="baseline"/>
        <w:rPr>
          <w:rFonts w:hint="eastAsia" w:ascii="仿宋" w:hAnsi="仿宋" w:eastAsia="仿宋" w:cs="仿宋"/>
          <w:color w:val="333333"/>
          <w:sz w:val="32"/>
          <w:szCs w:val="32"/>
          <w:lang w:eastAsia="zh-CN" w:bidi="ar-SA"/>
        </w:rPr>
      </w:pPr>
      <w:r>
        <w:rPr>
          <w:rFonts w:hint="eastAsia" w:ascii="仿宋" w:hAnsi="仿宋" w:eastAsia="仿宋" w:cs="仿宋"/>
          <w:color w:val="303030"/>
          <w:sz w:val="32"/>
          <w:szCs w:val="32"/>
          <w:lang w:eastAsia="zh-CN" w:bidi="ar-SA"/>
        </w:rPr>
        <w:t xml:space="preserve">    </w:t>
      </w:r>
      <w:r>
        <w:rPr>
          <w:rFonts w:hint="eastAsia" w:ascii="仿宋" w:hAnsi="仿宋" w:eastAsia="仿宋" w:cs="仿宋"/>
          <w:color w:val="303030"/>
          <w:sz w:val="32"/>
          <w:szCs w:val="32"/>
          <w:lang w:val="en-US" w:eastAsia="zh-CN" w:bidi="ar-SA"/>
        </w:rPr>
        <w:t xml:space="preserve">                 </w:t>
      </w:r>
      <w:r>
        <w:rPr>
          <w:rFonts w:hint="eastAsia" w:ascii="仿宋" w:hAnsi="仿宋" w:eastAsia="仿宋" w:cs="仿宋"/>
          <w:color w:val="303030"/>
          <w:sz w:val="32"/>
          <w:szCs w:val="32"/>
          <w:lang w:eastAsia="zh-CN" w:bidi="ar-SA"/>
        </w:rPr>
        <w:t>202</w:t>
      </w:r>
      <w:r>
        <w:rPr>
          <w:rFonts w:hint="eastAsia" w:ascii="仿宋" w:hAnsi="仿宋" w:eastAsia="仿宋" w:cs="仿宋"/>
          <w:color w:val="000000"/>
          <w:sz w:val="32"/>
          <w:szCs w:val="32"/>
          <w:lang w:eastAsia="zh-CN" w:bidi="ar-SA"/>
        </w:rPr>
        <w:t>1</w:t>
      </w:r>
      <w:r>
        <w:rPr>
          <w:rFonts w:hint="eastAsia" w:ascii="仿宋" w:hAnsi="仿宋" w:eastAsia="仿宋" w:cs="仿宋"/>
          <w:color w:val="303030"/>
          <w:sz w:val="32"/>
          <w:szCs w:val="32"/>
          <w:lang w:eastAsia="zh-CN" w:bidi="ar-SA"/>
        </w:rPr>
        <w:t>年</w:t>
      </w:r>
      <w:r>
        <w:rPr>
          <w:rFonts w:hint="eastAsia" w:ascii="仿宋" w:hAnsi="仿宋" w:eastAsia="仿宋" w:cs="仿宋"/>
          <w:color w:val="000000"/>
          <w:sz w:val="32"/>
          <w:szCs w:val="32"/>
          <w:lang w:eastAsia="zh-CN" w:bidi="ar-SA"/>
        </w:rPr>
        <w:t>3月1</w:t>
      </w:r>
      <w:r>
        <w:rPr>
          <w:rFonts w:hint="eastAsia" w:ascii="仿宋" w:hAnsi="仿宋" w:eastAsia="仿宋" w:cs="仿宋"/>
          <w:color w:val="000000"/>
          <w:sz w:val="32"/>
          <w:szCs w:val="32"/>
          <w:lang w:val="en-US" w:eastAsia="zh-CN" w:bidi="ar-SA"/>
        </w:rPr>
        <w:t>8</w:t>
      </w:r>
      <w:bookmarkStart w:id="1" w:name="_GoBack"/>
      <w:bookmarkEnd w:id="1"/>
      <w:r>
        <w:rPr>
          <w:rFonts w:hint="eastAsia" w:ascii="仿宋" w:hAnsi="仿宋" w:eastAsia="仿宋" w:cs="仿宋"/>
          <w:color w:val="000000"/>
          <w:sz w:val="32"/>
          <w:szCs w:val="32"/>
          <w:lang w:eastAsia="zh-CN" w:bidi="ar-SA"/>
        </w:rPr>
        <w:t>日         </w:t>
      </w:r>
    </w:p>
    <w:p>
      <w:pPr>
        <w:keepNext w:val="0"/>
        <w:keepLines w:val="0"/>
        <w:pageBreakBefore w:val="0"/>
        <w:widowControl/>
        <w:shd w:val="clear" w:color="auto" w:fill="FFFFFF"/>
        <w:kinsoku/>
        <w:wordWrap/>
        <w:overflowPunct/>
        <w:topLinePunct w:val="0"/>
        <w:autoSpaceDE/>
        <w:autoSpaceDN/>
        <w:bidi w:val="0"/>
        <w:adjustRightInd/>
        <w:snapToGrid/>
        <w:spacing w:line="600" w:lineRule="exact"/>
        <w:ind w:firstLine="0"/>
        <w:rPr>
          <w:rFonts w:hint="eastAsia" w:ascii="仿宋" w:hAnsi="仿宋" w:eastAsia="仿宋" w:cs="仿宋"/>
          <w:color w:val="333333"/>
          <w:sz w:val="32"/>
          <w:szCs w:val="32"/>
          <w:lang w:eastAsia="zh-CN" w:bidi="ar-SA"/>
        </w:rPr>
      </w:pPr>
    </w:p>
    <w:p>
      <w:pPr>
        <w:keepNext w:val="0"/>
        <w:keepLines w:val="0"/>
        <w:pageBreakBefore w:val="0"/>
        <w:widowControl/>
        <w:kinsoku/>
        <w:wordWrap/>
        <w:overflowPunct/>
        <w:topLinePunct w:val="0"/>
        <w:autoSpaceDE/>
        <w:autoSpaceDN/>
        <w:bidi w:val="0"/>
        <w:adjustRightInd/>
        <w:snapToGrid/>
        <w:spacing w:line="600" w:lineRule="exact"/>
      </w:pPr>
    </w:p>
    <w:p>
      <w:pPr>
        <w:keepNext w:val="0"/>
        <w:keepLines w:val="0"/>
        <w:pageBreakBefore w:val="0"/>
        <w:widowControl/>
        <w:kinsoku/>
        <w:wordWrap/>
        <w:overflowPunct/>
        <w:topLinePunct w:val="0"/>
        <w:autoSpaceDE/>
        <w:autoSpaceDN/>
        <w:bidi w:val="0"/>
        <w:adjustRightInd/>
        <w:snapToGrid/>
        <w:spacing w:line="600" w:lineRule="exact"/>
      </w:pPr>
    </w:p>
    <w:p>
      <w:pPr>
        <w:keepNext w:val="0"/>
        <w:keepLines w:val="0"/>
        <w:pageBreakBefore w:val="0"/>
        <w:widowControl/>
        <w:kinsoku/>
        <w:wordWrap/>
        <w:overflowPunct/>
        <w:topLinePunct w:val="0"/>
        <w:autoSpaceDE/>
        <w:autoSpaceDN/>
        <w:bidi w:val="0"/>
        <w:adjustRightInd/>
        <w:snapToGrid/>
        <w:spacing w:line="600" w:lineRule="exact"/>
      </w:pPr>
    </w:p>
    <w:p>
      <w:pPr>
        <w:ind w:left="0" w:leftChars="0" w:firstLine="0" w:firstLineChars="0"/>
      </w:pPr>
      <w:r>
        <w:rPr>
          <w:rFonts w:ascii="仿宋体" w:eastAsia="仿宋体"/>
          <w:sz w:val="28"/>
          <w:szCs w:val="28"/>
        </w:rPr>
        <mc:AlternateContent>
          <mc:Choice Requires="wps">
            <w:drawing>
              <wp:anchor distT="0" distB="0" distL="114300" distR="114300" simplePos="0" relativeHeight="251662336" behindDoc="0" locked="0" layoutInCell="1" allowOverlap="1">
                <wp:simplePos x="0" y="0"/>
                <wp:positionH relativeFrom="column">
                  <wp:posOffset>17780</wp:posOffset>
                </wp:positionH>
                <wp:positionV relativeFrom="paragraph">
                  <wp:posOffset>388620</wp:posOffset>
                </wp:positionV>
                <wp:extent cx="5229225" cy="0"/>
                <wp:effectExtent l="0" t="9525" r="9525" b="9525"/>
                <wp:wrapNone/>
                <wp:docPr id="3" name="直接连接符 3"/>
                <wp:cNvGraphicFramePr/>
                <a:graphic xmlns:a="http://schemas.openxmlformats.org/drawingml/2006/main">
                  <a:graphicData uri="http://schemas.microsoft.com/office/word/2010/wordprocessingShape">
                    <wps:wsp>
                      <wps:cNvCnPr/>
                      <wps:spPr>
                        <a:xfrm>
                          <a:off x="0" y="0"/>
                          <a:ext cx="5229225" cy="0"/>
                        </a:xfrm>
                        <a:prstGeom prst="line">
                          <a:avLst/>
                        </a:prstGeom>
                        <a:noFill/>
                        <a:ln w="190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1.4pt;margin-top:30.6pt;height:0pt;width:411.75pt;z-index:251662336;mso-width-relative:page;mso-height-relative:page;" filled="f" stroked="t" coordsize="21600,21600" o:gfxdata="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emQlHW&#10;AAAABwEAAA8AAAAAAAAAAQAgAAAAIgAAAGRycy9kb3ducmV2LnhtbFBLAQIUABQAAAAIAIdO4kDO&#10;ncXb6QEAAMADAAAOAAAAAAAAAAEAIAAAACUBAABkcnMvZTJvRG9jLnhtbFBLBQYAAAAABgAGAFkB&#10;AACABQAAAAA=&#10;">
                <v:fill on="f" focussize="0,0"/>
                <v:stroke weight="1.5pt" color="#000000" miterlimit="8" joinstyle="miter"/>
                <v:imagedata o:title=""/>
                <o:lock v:ext="edit" aspectratio="f"/>
              </v:line>
            </w:pict>
          </mc:Fallback>
        </mc:AlternateContent>
      </w:r>
      <w:r>
        <w:rPr>
          <w:rFonts w:ascii="仿宋体" w:eastAsia="仿宋体"/>
          <w:sz w:val="28"/>
          <w:szCs w:val="28"/>
        </w:rPr>
        <mc:AlternateContent>
          <mc:Choice Requires="wps">
            <w:drawing>
              <wp:anchor distT="0" distB="0" distL="114300" distR="114300" simplePos="0" relativeHeight="251661312" behindDoc="0" locked="0" layoutInCell="1" allowOverlap="1">
                <wp:simplePos x="0" y="0"/>
                <wp:positionH relativeFrom="column">
                  <wp:posOffset>27305</wp:posOffset>
                </wp:positionH>
                <wp:positionV relativeFrom="paragraph">
                  <wp:posOffset>17145</wp:posOffset>
                </wp:positionV>
                <wp:extent cx="5229225" cy="0"/>
                <wp:effectExtent l="0" t="9525" r="9525" b="9525"/>
                <wp:wrapNone/>
                <wp:docPr id="2" name="直接连接符 2"/>
                <wp:cNvGraphicFramePr/>
                <a:graphic xmlns:a="http://schemas.openxmlformats.org/drawingml/2006/main">
                  <a:graphicData uri="http://schemas.microsoft.com/office/word/2010/wordprocessingShape">
                    <wps:wsp>
                      <wps:cNvCnPr/>
                      <wps:spPr>
                        <a:xfrm>
                          <a:off x="1170305" y="9252585"/>
                          <a:ext cx="5229225" cy="0"/>
                        </a:xfrm>
                        <a:prstGeom prst="line">
                          <a:avLst/>
                        </a:prstGeom>
                        <a:noFill/>
                        <a:ln w="19050" cap="flat" cmpd="sng" algn="ctr">
                          <a:solidFill>
                            <a:srgbClr val="000000"/>
                          </a:solidFill>
                          <a:prstDash val="solid"/>
                          <a:miter lim="800000"/>
                        </a:ln>
                        <a:effectLst/>
                      </wps:spPr>
                      <wps:bodyPr/>
                    </wps:wsp>
                  </a:graphicData>
                </a:graphic>
              </wp:anchor>
            </w:drawing>
          </mc:Choice>
          <mc:Fallback>
            <w:pict>
              <v:line id="_x0000_s1026" o:spid="_x0000_s1026" o:spt="20" style="position:absolute;left:0pt;margin-left:2.15pt;margin-top:1.35pt;height:0pt;width:411.75pt;z-index:251661312;mso-width-relative:page;mso-height-relative:page;" filled="f" stroked="t" coordsize="21600,21600" o:gfxdata="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pkxWO1gAAAAUBAAAPAAAAAAAAAAEAIAAAACIAAABkcnMvZG93bnJldi54bWxQSwEC&#10;FAAUAAAACACHTuJAeCvco/YBAADMAwAADgAAAAAAAAABACAAAAAlAQAAZHJzL2Uyb0RvYy54bWxQ&#10;SwUGAAAAAAYABgBZAQAAjQUAAAAA&#10;">
                <v:fill on="f" focussize="0,0"/>
                <v:stroke weight="1.5pt" color="#000000" miterlimit="8" joinstyle="miter"/>
                <v:imagedata o:title=""/>
                <o:lock v:ext="edit" aspectratio="f"/>
              </v:line>
            </w:pict>
          </mc:Fallback>
        </mc:AlternateContent>
      </w:r>
      <w:r>
        <w:rPr>
          <w:rFonts w:hint="eastAsia" w:ascii="仿宋体" w:hAnsi="仿宋_GB2312" w:eastAsia="仿宋体" w:cs="仿宋_GB2312"/>
          <w:sz w:val="28"/>
          <w:szCs w:val="28"/>
        </w:rPr>
        <w:t xml:space="preserve">福建师范大学教务处                    </w:t>
      </w:r>
      <w:r>
        <w:rPr>
          <w:rFonts w:hint="eastAsia" w:ascii="仿宋体" w:hAnsi="仿宋_GB2312" w:eastAsia="仿宋体" w:cs="仿宋_GB2312"/>
          <w:sz w:val="28"/>
          <w:szCs w:val="28"/>
          <w:lang w:val="en-US" w:eastAsia="zh-CN"/>
        </w:rPr>
        <w:t>2021</w:t>
      </w:r>
      <w:r>
        <w:rPr>
          <w:rFonts w:hint="eastAsia" w:ascii="仿宋体" w:hAnsi="仿宋_GB2312" w:eastAsia="仿宋体" w:cs="仿宋_GB2312"/>
          <w:sz w:val="28"/>
          <w:szCs w:val="28"/>
        </w:rPr>
        <w:t>年</w:t>
      </w:r>
      <w:r>
        <w:rPr>
          <w:rFonts w:hint="eastAsia" w:ascii="仿宋体" w:hAnsi="仿宋_GB2312" w:eastAsia="仿宋体" w:cs="仿宋_GB2312"/>
          <w:sz w:val="28"/>
          <w:szCs w:val="28"/>
          <w:lang w:val="en-US" w:eastAsia="zh-CN"/>
        </w:rPr>
        <w:t>3</w:t>
      </w:r>
      <w:r>
        <w:rPr>
          <w:rFonts w:hint="eastAsia" w:ascii="仿宋体" w:hAnsi="仿宋_GB2312" w:eastAsia="仿宋体" w:cs="仿宋_GB2312"/>
          <w:sz w:val="28"/>
          <w:szCs w:val="28"/>
        </w:rPr>
        <w:t>月</w:t>
      </w:r>
      <w:r>
        <w:rPr>
          <w:rFonts w:hint="eastAsia" w:ascii="仿宋体" w:hAnsi="仿宋_GB2312" w:eastAsia="仿宋体" w:cs="仿宋_GB2312"/>
          <w:sz w:val="28"/>
          <w:szCs w:val="28"/>
          <w:lang w:val="en-US" w:eastAsia="zh-CN"/>
        </w:rPr>
        <w:t>18</w:t>
      </w:r>
      <w:r>
        <w:rPr>
          <w:rFonts w:hint="eastAsia" w:ascii="仿宋体" w:hAnsi="仿宋_GB2312" w:eastAsia="仿宋体" w:cs="仿宋_GB2312"/>
          <w:sz w:val="28"/>
          <w:szCs w:val="28"/>
          <w:lang w:eastAsia="zh-CN"/>
        </w:rPr>
        <w:t>日</w:t>
      </w:r>
      <w:r>
        <w:rPr>
          <w:rFonts w:hint="eastAsia" w:ascii="仿宋体" w:hAnsi="仿宋_GB2312" w:eastAsia="仿宋体" w:cs="仿宋_GB2312"/>
          <w:sz w:val="28"/>
          <w:szCs w:val="28"/>
        </w:rPr>
        <w:t>印发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体">
    <w:altName w:val="宋体"/>
    <w:panose1 w:val="00000000000000000000"/>
    <w:charset w:val="86"/>
    <w:family w:val="roman"/>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4EE11F"/>
    <w:multiLevelType w:val="singleLevel"/>
    <w:tmpl w:val="AB4EE11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D0C"/>
    <w:rsid w:val="0024206A"/>
    <w:rsid w:val="002D7F1C"/>
    <w:rsid w:val="00326D0C"/>
    <w:rsid w:val="003924D8"/>
    <w:rsid w:val="003F51F7"/>
    <w:rsid w:val="004C589C"/>
    <w:rsid w:val="00520C4E"/>
    <w:rsid w:val="0060631C"/>
    <w:rsid w:val="006C4749"/>
    <w:rsid w:val="00836E80"/>
    <w:rsid w:val="00DC7101"/>
    <w:rsid w:val="00DD0F07"/>
    <w:rsid w:val="00E23708"/>
    <w:rsid w:val="00E71C44"/>
    <w:rsid w:val="00EC7B4C"/>
    <w:rsid w:val="00F40988"/>
    <w:rsid w:val="00FA201F"/>
    <w:rsid w:val="013972BF"/>
    <w:rsid w:val="03575F1C"/>
    <w:rsid w:val="04445F24"/>
    <w:rsid w:val="04696BBE"/>
    <w:rsid w:val="04D806FC"/>
    <w:rsid w:val="06BE299B"/>
    <w:rsid w:val="07BA2AE1"/>
    <w:rsid w:val="09293704"/>
    <w:rsid w:val="0A523AD2"/>
    <w:rsid w:val="0A777A73"/>
    <w:rsid w:val="0ADB19A5"/>
    <w:rsid w:val="0C8C0947"/>
    <w:rsid w:val="0E3E0590"/>
    <w:rsid w:val="0F383234"/>
    <w:rsid w:val="12A5258F"/>
    <w:rsid w:val="13393FC5"/>
    <w:rsid w:val="13613D14"/>
    <w:rsid w:val="136731DE"/>
    <w:rsid w:val="15973225"/>
    <w:rsid w:val="18C6094A"/>
    <w:rsid w:val="192A7696"/>
    <w:rsid w:val="1AA90EBF"/>
    <w:rsid w:val="1EAF3E1F"/>
    <w:rsid w:val="1FE37E26"/>
    <w:rsid w:val="22E10CDD"/>
    <w:rsid w:val="22E546B1"/>
    <w:rsid w:val="22F41694"/>
    <w:rsid w:val="23AB7117"/>
    <w:rsid w:val="255504D7"/>
    <w:rsid w:val="25D037A3"/>
    <w:rsid w:val="260B43D0"/>
    <w:rsid w:val="261A432C"/>
    <w:rsid w:val="26646239"/>
    <w:rsid w:val="26B2015C"/>
    <w:rsid w:val="26DA6ADA"/>
    <w:rsid w:val="275640BB"/>
    <w:rsid w:val="28E25536"/>
    <w:rsid w:val="29577E29"/>
    <w:rsid w:val="2C237626"/>
    <w:rsid w:val="2C49062D"/>
    <w:rsid w:val="2C7B6458"/>
    <w:rsid w:val="2D287FE4"/>
    <w:rsid w:val="2F642064"/>
    <w:rsid w:val="307966D8"/>
    <w:rsid w:val="30A95BBE"/>
    <w:rsid w:val="30BF4865"/>
    <w:rsid w:val="31F628C4"/>
    <w:rsid w:val="320124B3"/>
    <w:rsid w:val="323116C0"/>
    <w:rsid w:val="32E87DEB"/>
    <w:rsid w:val="33DC5C7D"/>
    <w:rsid w:val="368867D3"/>
    <w:rsid w:val="37AA329F"/>
    <w:rsid w:val="3826407F"/>
    <w:rsid w:val="393E5E05"/>
    <w:rsid w:val="39500F8C"/>
    <w:rsid w:val="39F114E0"/>
    <w:rsid w:val="3A882D8F"/>
    <w:rsid w:val="3B0037CA"/>
    <w:rsid w:val="3B215D51"/>
    <w:rsid w:val="3B5474A1"/>
    <w:rsid w:val="3BF26601"/>
    <w:rsid w:val="3C292FC1"/>
    <w:rsid w:val="3C9E7B59"/>
    <w:rsid w:val="3D987347"/>
    <w:rsid w:val="3E2A080E"/>
    <w:rsid w:val="3E7F1AFE"/>
    <w:rsid w:val="3F06435D"/>
    <w:rsid w:val="4239484E"/>
    <w:rsid w:val="43832EFA"/>
    <w:rsid w:val="43DB40AD"/>
    <w:rsid w:val="473E2738"/>
    <w:rsid w:val="48221A29"/>
    <w:rsid w:val="48A94BF2"/>
    <w:rsid w:val="492C1F61"/>
    <w:rsid w:val="4A4A609A"/>
    <w:rsid w:val="4AC4396F"/>
    <w:rsid w:val="4B0F1DE5"/>
    <w:rsid w:val="4B1654A8"/>
    <w:rsid w:val="4B691C31"/>
    <w:rsid w:val="4CE1318D"/>
    <w:rsid w:val="4CFB3BC4"/>
    <w:rsid w:val="55761D0A"/>
    <w:rsid w:val="557A62B8"/>
    <w:rsid w:val="56FC5684"/>
    <w:rsid w:val="58A72E7E"/>
    <w:rsid w:val="58C44071"/>
    <w:rsid w:val="58D62EB9"/>
    <w:rsid w:val="5AD27CBD"/>
    <w:rsid w:val="5D620DED"/>
    <w:rsid w:val="5E344FF0"/>
    <w:rsid w:val="5E61669C"/>
    <w:rsid w:val="5EB6265F"/>
    <w:rsid w:val="5F0A46F9"/>
    <w:rsid w:val="601E6843"/>
    <w:rsid w:val="60394FA8"/>
    <w:rsid w:val="60482537"/>
    <w:rsid w:val="624E2B3A"/>
    <w:rsid w:val="62BE66B8"/>
    <w:rsid w:val="630C33A7"/>
    <w:rsid w:val="63325C2E"/>
    <w:rsid w:val="63354BB1"/>
    <w:rsid w:val="636F438B"/>
    <w:rsid w:val="68AF3B98"/>
    <w:rsid w:val="68D93CEA"/>
    <w:rsid w:val="68F7053A"/>
    <w:rsid w:val="69531A7D"/>
    <w:rsid w:val="6A967688"/>
    <w:rsid w:val="6C0D4584"/>
    <w:rsid w:val="6CD90FD4"/>
    <w:rsid w:val="6E7838E0"/>
    <w:rsid w:val="710703FB"/>
    <w:rsid w:val="717C1C4F"/>
    <w:rsid w:val="71827201"/>
    <w:rsid w:val="719C21CD"/>
    <w:rsid w:val="72084C10"/>
    <w:rsid w:val="72AC5A09"/>
    <w:rsid w:val="731F29FF"/>
    <w:rsid w:val="732C0DF1"/>
    <w:rsid w:val="7372662F"/>
    <w:rsid w:val="75F12F4B"/>
    <w:rsid w:val="761E61BE"/>
    <w:rsid w:val="76EB6DB5"/>
    <w:rsid w:val="77BE1212"/>
    <w:rsid w:val="78761C0B"/>
    <w:rsid w:val="79B6435F"/>
    <w:rsid w:val="7A083337"/>
    <w:rsid w:val="7A4735D7"/>
    <w:rsid w:val="7B067489"/>
    <w:rsid w:val="7E9876FA"/>
    <w:rsid w:val="7EC2481E"/>
    <w:rsid w:val="7FD55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360"/>
    </w:pPr>
    <w:rPr>
      <w:rFonts w:asciiTheme="minorHAnsi" w:hAnsiTheme="minorHAnsi" w:eastAsiaTheme="minorEastAsia" w:cstheme="minorBidi"/>
      <w:sz w:val="22"/>
      <w:szCs w:val="22"/>
      <w:lang w:val="en-US" w:eastAsia="en-US" w:bidi="en-US"/>
    </w:rPr>
  </w:style>
  <w:style w:type="paragraph" w:styleId="2">
    <w:name w:val="heading 1"/>
    <w:basedOn w:val="1"/>
    <w:next w:val="1"/>
    <w:link w:val="22"/>
    <w:qFormat/>
    <w:uiPriority w:val="9"/>
    <w:pPr>
      <w:pBdr>
        <w:bottom w:val="single" w:color="366091" w:themeColor="accent1" w:themeShade="BF" w:sz="12" w:space="1"/>
      </w:pBdr>
      <w:spacing w:before="600" w:after="80"/>
      <w:ind w:firstLine="0"/>
      <w:outlineLvl w:val="0"/>
    </w:pPr>
    <w:rPr>
      <w:rFonts w:asciiTheme="majorHAnsi" w:hAnsiTheme="majorHAnsi" w:eastAsiaTheme="majorEastAsia" w:cstheme="majorBidi"/>
      <w:b/>
      <w:bCs/>
      <w:color w:val="376092" w:themeColor="accent1" w:themeShade="BF"/>
      <w:sz w:val="24"/>
      <w:szCs w:val="24"/>
    </w:rPr>
  </w:style>
  <w:style w:type="paragraph" w:styleId="3">
    <w:name w:val="heading 2"/>
    <w:basedOn w:val="1"/>
    <w:next w:val="1"/>
    <w:link w:val="23"/>
    <w:semiHidden/>
    <w:unhideWhenUsed/>
    <w:qFormat/>
    <w:uiPriority w:val="9"/>
    <w:pPr>
      <w:pBdr>
        <w:bottom w:val="single" w:color="4F81BD" w:themeColor="accent1" w:sz="8" w:space="1"/>
      </w:pBdr>
      <w:spacing w:before="200" w:after="80"/>
      <w:ind w:firstLine="0"/>
      <w:outlineLvl w:val="1"/>
    </w:pPr>
    <w:rPr>
      <w:rFonts w:asciiTheme="majorHAnsi" w:hAnsiTheme="majorHAnsi" w:eastAsiaTheme="majorEastAsia" w:cstheme="majorBidi"/>
      <w:color w:val="376092" w:themeColor="accent1" w:themeShade="BF"/>
      <w:sz w:val="24"/>
      <w:szCs w:val="24"/>
    </w:rPr>
  </w:style>
  <w:style w:type="paragraph" w:styleId="4">
    <w:name w:val="heading 3"/>
    <w:basedOn w:val="1"/>
    <w:next w:val="1"/>
    <w:link w:val="24"/>
    <w:semiHidden/>
    <w:unhideWhenUsed/>
    <w:qFormat/>
    <w:uiPriority w:val="9"/>
    <w:pPr>
      <w:pBdr>
        <w:bottom w:val="single" w:color="95B3D7" w:themeColor="accent1" w:themeTint="99" w:sz="4" w:space="1"/>
      </w:pBdr>
      <w:spacing w:before="200" w:after="80"/>
      <w:ind w:firstLine="0"/>
      <w:outlineLvl w:val="2"/>
    </w:pPr>
    <w:rPr>
      <w:rFonts w:asciiTheme="majorHAnsi" w:hAnsiTheme="majorHAnsi" w:eastAsiaTheme="majorEastAsia" w:cstheme="majorBidi"/>
      <w:color w:val="4F81BD" w:themeColor="accent1"/>
      <w:sz w:val="24"/>
      <w:szCs w:val="24"/>
      <w14:textFill>
        <w14:solidFill>
          <w14:schemeClr w14:val="accent1"/>
        </w14:solidFill>
      </w14:textFill>
    </w:rPr>
  </w:style>
  <w:style w:type="paragraph" w:styleId="5">
    <w:name w:val="heading 4"/>
    <w:basedOn w:val="1"/>
    <w:next w:val="1"/>
    <w:link w:val="25"/>
    <w:semiHidden/>
    <w:unhideWhenUsed/>
    <w:qFormat/>
    <w:uiPriority w:val="9"/>
    <w:pPr>
      <w:pBdr>
        <w:bottom w:val="single" w:color="B8CCE4" w:themeColor="accent1" w:themeTint="66" w:sz="4" w:space="2"/>
      </w:pBdr>
      <w:spacing w:before="200" w:after="80"/>
      <w:ind w:firstLine="0"/>
      <w:outlineLvl w:val="3"/>
    </w:pPr>
    <w:rPr>
      <w:rFonts w:asciiTheme="majorHAnsi" w:hAnsiTheme="majorHAnsi" w:eastAsiaTheme="majorEastAsia" w:cstheme="majorBidi"/>
      <w:i/>
      <w:iCs/>
      <w:color w:val="4F81BD" w:themeColor="accent1"/>
      <w:sz w:val="24"/>
      <w:szCs w:val="24"/>
      <w14:textFill>
        <w14:solidFill>
          <w14:schemeClr w14:val="accent1"/>
        </w14:solidFill>
      </w14:textFill>
    </w:rPr>
  </w:style>
  <w:style w:type="paragraph" w:styleId="6">
    <w:name w:val="heading 5"/>
    <w:basedOn w:val="1"/>
    <w:next w:val="1"/>
    <w:link w:val="26"/>
    <w:semiHidden/>
    <w:unhideWhenUsed/>
    <w:qFormat/>
    <w:uiPriority w:val="9"/>
    <w:pPr>
      <w:spacing w:before="200" w:after="80"/>
      <w:ind w:firstLine="0"/>
      <w:outlineLvl w:val="4"/>
    </w:pPr>
    <w:rPr>
      <w:rFonts w:asciiTheme="majorHAnsi" w:hAnsiTheme="majorHAnsi" w:eastAsiaTheme="majorEastAsia" w:cstheme="majorBidi"/>
      <w:color w:val="4F81BD" w:themeColor="accent1"/>
      <w14:textFill>
        <w14:solidFill>
          <w14:schemeClr w14:val="accent1"/>
        </w14:solidFill>
      </w14:textFill>
    </w:rPr>
  </w:style>
  <w:style w:type="paragraph" w:styleId="7">
    <w:name w:val="heading 6"/>
    <w:basedOn w:val="1"/>
    <w:next w:val="1"/>
    <w:link w:val="27"/>
    <w:semiHidden/>
    <w:unhideWhenUsed/>
    <w:qFormat/>
    <w:uiPriority w:val="9"/>
    <w:pPr>
      <w:spacing w:before="280" w:after="100"/>
      <w:ind w:firstLine="0"/>
      <w:outlineLvl w:val="5"/>
    </w:pPr>
    <w:rPr>
      <w:rFonts w:asciiTheme="majorHAnsi" w:hAnsiTheme="majorHAnsi" w:eastAsiaTheme="majorEastAsia" w:cstheme="majorBidi"/>
      <w:i/>
      <w:iCs/>
      <w:color w:val="4F81BD" w:themeColor="accent1"/>
      <w14:textFill>
        <w14:solidFill>
          <w14:schemeClr w14:val="accent1"/>
        </w14:solidFill>
      </w14:textFill>
    </w:rPr>
  </w:style>
  <w:style w:type="paragraph" w:styleId="8">
    <w:name w:val="heading 7"/>
    <w:basedOn w:val="1"/>
    <w:next w:val="1"/>
    <w:link w:val="28"/>
    <w:semiHidden/>
    <w:unhideWhenUsed/>
    <w:qFormat/>
    <w:uiPriority w:val="9"/>
    <w:pPr>
      <w:spacing w:before="320" w:after="100"/>
      <w:ind w:firstLine="0"/>
      <w:outlineLvl w:val="6"/>
    </w:pPr>
    <w:rPr>
      <w:rFonts w:asciiTheme="majorHAnsi" w:hAnsiTheme="majorHAnsi" w:eastAsiaTheme="majorEastAsia" w:cstheme="majorBidi"/>
      <w:b/>
      <w:bCs/>
      <w:color w:val="9BBB59" w:themeColor="accent3"/>
      <w:sz w:val="20"/>
      <w:szCs w:val="20"/>
      <w14:textFill>
        <w14:solidFill>
          <w14:schemeClr w14:val="accent3"/>
        </w14:solidFill>
      </w14:textFill>
    </w:rPr>
  </w:style>
  <w:style w:type="paragraph" w:styleId="9">
    <w:name w:val="heading 8"/>
    <w:basedOn w:val="1"/>
    <w:next w:val="1"/>
    <w:link w:val="29"/>
    <w:semiHidden/>
    <w:unhideWhenUsed/>
    <w:qFormat/>
    <w:uiPriority w:val="9"/>
    <w:pPr>
      <w:spacing w:before="320" w:after="100"/>
      <w:ind w:firstLine="0"/>
      <w:outlineLvl w:val="7"/>
    </w:pPr>
    <w:rPr>
      <w:rFonts w:asciiTheme="majorHAnsi" w:hAnsiTheme="majorHAnsi" w:eastAsiaTheme="majorEastAsia" w:cstheme="majorBidi"/>
      <w:b/>
      <w:bCs/>
      <w:i/>
      <w:iCs/>
      <w:color w:val="9BBB59" w:themeColor="accent3"/>
      <w:sz w:val="20"/>
      <w:szCs w:val="20"/>
      <w14:textFill>
        <w14:solidFill>
          <w14:schemeClr w14:val="accent3"/>
        </w14:solidFill>
      </w14:textFill>
    </w:rPr>
  </w:style>
  <w:style w:type="paragraph" w:styleId="10">
    <w:name w:val="heading 9"/>
    <w:basedOn w:val="1"/>
    <w:next w:val="1"/>
    <w:link w:val="30"/>
    <w:semiHidden/>
    <w:unhideWhenUsed/>
    <w:qFormat/>
    <w:uiPriority w:val="9"/>
    <w:pPr>
      <w:spacing w:before="320" w:after="100"/>
      <w:ind w:firstLine="0"/>
      <w:outlineLvl w:val="8"/>
    </w:pPr>
    <w:rPr>
      <w:rFonts w:asciiTheme="majorHAnsi" w:hAnsiTheme="majorHAnsi" w:eastAsiaTheme="majorEastAsia" w:cstheme="majorBidi"/>
      <w:i/>
      <w:iCs/>
      <w:color w:val="9BBB59" w:themeColor="accent3"/>
      <w:sz w:val="20"/>
      <w:szCs w:val="20"/>
      <w14:textFill>
        <w14:solidFill>
          <w14:schemeClr w14:val="accent3"/>
        </w14:solidFill>
      </w14:textFill>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rPr>
      <w:b/>
      <w:bCs/>
      <w:sz w:val="18"/>
      <w:szCs w:val="18"/>
    </w:rPr>
  </w:style>
  <w:style w:type="paragraph" w:styleId="12">
    <w:name w:val="Balloon Text"/>
    <w:basedOn w:val="1"/>
    <w:link w:val="48"/>
    <w:semiHidden/>
    <w:unhideWhenUsed/>
    <w:qFormat/>
    <w:uiPriority w:val="99"/>
    <w:rPr>
      <w:sz w:val="18"/>
      <w:szCs w:val="18"/>
    </w:rPr>
  </w:style>
  <w:style w:type="paragraph" w:styleId="13">
    <w:name w:val="footer"/>
    <w:basedOn w:val="1"/>
    <w:link w:val="47"/>
    <w:unhideWhenUsed/>
    <w:qFormat/>
    <w:uiPriority w:val="99"/>
    <w:pPr>
      <w:tabs>
        <w:tab w:val="center" w:pos="4153"/>
        <w:tab w:val="right" w:pos="8306"/>
      </w:tabs>
      <w:snapToGrid w:val="0"/>
    </w:pPr>
    <w:rPr>
      <w:sz w:val="18"/>
      <w:szCs w:val="18"/>
    </w:rPr>
  </w:style>
  <w:style w:type="paragraph" w:styleId="14">
    <w:name w:val="header"/>
    <w:basedOn w:val="1"/>
    <w:link w:val="46"/>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Subtitle"/>
    <w:basedOn w:val="1"/>
    <w:next w:val="1"/>
    <w:link w:val="32"/>
    <w:qFormat/>
    <w:uiPriority w:val="11"/>
    <w:pPr>
      <w:spacing w:before="200" w:after="900"/>
      <w:ind w:firstLine="0"/>
      <w:jc w:val="right"/>
    </w:pPr>
    <w:rPr>
      <w:i/>
      <w:iCs/>
      <w:sz w:val="24"/>
      <w:szCs w:val="24"/>
    </w:rPr>
  </w:style>
  <w:style w:type="paragraph" w:styleId="16">
    <w:name w:val="Normal (Web)"/>
    <w:basedOn w:val="1"/>
    <w:semiHidden/>
    <w:unhideWhenUsed/>
    <w:qFormat/>
    <w:uiPriority w:val="99"/>
    <w:pPr>
      <w:spacing w:before="100" w:beforeAutospacing="1" w:after="100" w:afterAutospacing="1"/>
      <w:ind w:firstLine="0"/>
    </w:pPr>
    <w:rPr>
      <w:rFonts w:ascii="宋体" w:hAnsi="宋体" w:eastAsia="宋体" w:cs="宋体"/>
      <w:sz w:val="24"/>
      <w:szCs w:val="24"/>
      <w:lang w:eastAsia="zh-CN" w:bidi="ar-SA"/>
    </w:rPr>
  </w:style>
  <w:style w:type="paragraph" w:styleId="17">
    <w:name w:val="Title"/>
    <w:basedOn w:val="1"/>
    <w:next w:val="1"/>
    <w:link w:val="31"/>
    <w:qFormat/>
    <w:uiPriority w:val="10"/>
    <w:pPr>
      <w:pBdr>
        <w:top w:val="single" w:color="A7C0DE" w:themeColor="accent1" w:themeTint="7F" w:sz="8" w:space="10"/>
        <w:bottom w:val="single" w:color="9BBB59" w:themeColor="accent3" w:sz="24" w:space="15"/>
      </w:pBdr>
      <w:ind w:firstLine="0"/>
      <w:jc w:val="center"/>
    </w:pPr>
    <w:rPr>
      <w:rFonts w:asciiTheme="majorHAnsi" w:hAnsiTheme="majorHAnsi" w:eastAsiaTheme="majorEastAsia" w:cstheme="majorBidi"/>
      <w:i/>
      <w:iCs/>
      <w:color w:val="254061" w:themeColor="accent1" w:themeShade="80"/>
      <w:sz w:val="60"/>
      <w:szCs w:val="60"/>
    </w:rPr>
  </w:style>
  <w:style w:type="character" w:styleId="20">
    <w:name w:val="Strong"/>
    <w:basedOn w:val="19"/>
    <w:qFormat/>
    <w:uiPriority w:val="22"/>
    <w:rPr>
      <w:b/>
      <w:bCs/>
      <w:spacing w:val="0"/>
    </w:rPr>
  </w:style>
  <w:style w:type="character" w:styleId="21">
    <w:name w:val="Emphasis"/>
    <w:qFormat/>
    <w:uiPriority w:val="20"/>
    <w:rPr>
      <w:b/>
      <w:bCs/>
      <w:i/>
      <w:iCs/>
      <w:color w:val="595959" w:themeColor="text1" w:themeTint="A6"/>
      <w14:textFill>
        <w14:solidFill>
          <w14:schemeClr w14:val="tx1">
            <w14:lumMod w14:val="65000"/>
            <w14:lumOff w14:val="35000"/>
          </w14:schemeClr>
        </w14:solidFill>
      </w14:textFill>
    </w:rPr>
  </w:style>
  <w:style w:type="character" w:customStyle="1" w:styleId="22">
    <w:name w:val="标题 1 Char"/>
    <w:basedOn w:val="19"/>
    <w:link w:val="2"/>
    <w:qFormat/>
    <w:uiPriority w:val="9"/>
    <w:rPr>
      <w:rFonts w:asciiTheme="majorHAnsi" w:hAnsiTheme="majorHAnsi" w:eastAsiaTheme="majorEastAsia" w:cstheme="majorBidi"/>
      <w:b/>
      <w:bCs/>
      <w:color w:val="376092" w:themeColor="accent1" w:themeShade="BF"/>
      <w:sz w:val="24"/>
      <w:szCs w:val="24"/>
    </w:rPr>
  </w:style>
  <w:style w:type="character" w:customStyle="1" w:styleId="23">
    <w:name w:val="标题 2 Char"/>
    <w:basedOn w:val="19"/>
    <w:link w:val="3"/>
    <w:semiHidden/>
    <w:qFormat/>
    <w:uiPriority w:val="9"/>
    <w:rPr>
      <w:rFonts w:asciiTheme="majorHAnsi" w:hAnsiTheme="majorHAnsi" w:eastAsiaTheme="majorEastAsia" w:cstheme="majorBidi"/>
      <w:color w:val="376092" w:themeColor="accent1" w:themeShade="BF"/>
      <w:sz w:val="24"/>
      <w:szCs w:val="24"/>
    </w:rPr>
  </w:style>
  <w:style w:type="character" w:customStyle="1" w:styleId="24">
    <w:name w:val="标题 3 Char"/>
    <w:basedOn w:val="19"/>
    <w:link w:val="4"/>
    <w:semiHidden/>
    <w:qFormat/>
    <w:uiPriority w:val="9"/>
    <w:rPr>
      <w:rFonts w:asciiTheme="majorHAnsi" w:hAnsiTheme="majorHAnsi" w:eastAsiaTheme="majorEastAsia" w:cstheme="majorBidi"/>
      <w:color w:val="4F81BD" w:themeColor="accent1"/>
      <w:sz w:val="24"/>
      <w:szCs w:val="24"/>
      <w14:textFill>
        <w14:solidFill>
          <w14:schemeClr w14:val="accent1"/>
        </w14:solidFill>
      </w14:textFill>
    </w:rPr>
  </w:style>
  <w:style w:type="character" w:customStyle="1" w:styleId="25">
    <w:name w:val="标题 4 Char"/>
    <w:basedOn w:val="19"/>
    <w:link w:val="5"/>
    <w:semiHidden/>
    <w:qFormat/>
    <w:uiPriority w:val="9"/>
    <w:rPr>
      <w:rFonts w:asciiTheme="majorHAnsi" w:hAnsiTheme="majorHAnsi" w:eastAsiaTheme="majorEastAsia" w:cstheme="majorBidi"/>
      <w:i/>
      <w:iCs/>
      <w:color w:val="4F81BD" w:themeColor="accent1"/>
      <w:sz w:val="24"/>
      <w:szCs w:val="24"/>
      <w14:textFill>
        <w14:solidFill>
          <w14:schemeClr w14:val="accent1"/>
        </w14:solidFill>
      </w14:textFill>
    </w:rPr>
  </w:style>
  <w:style w:type="character" w:customStyle="1" w:styleId="26">
    <w:name w:val="标题 5 Char"/>
    <w:basedOn w:val="19"/>
    <w:link w:val="6"/>
    <w:semiHidden/>
    <w:qFormat/>
    <w:uiPriority w:val="9"/>
    <w:rPr>
      <w:rFonts w:asciiTheme="majorHAnsi" w:hAnsiTheme="majorHAnsi" w:eastAsiaTheme="majorEastAsia" w:cstheme="majorBidi"/>
      <w:color w:val="4F81BD" w:themeColor="accent1"/>
      <w14:textFill>
        <w14:solidFill>
          <w14:schemeClr w14:val="accent1"/>
        </w14:solidFill>
      </w14:textFill>
    </w:rPr>
  </w:style>
  <w:style w:type="character" w:customStyle="1" w:styleId="27">
    <w:name w:val="标题 6 Char"/>
    <w:basedOn w:val="19"/>
    <w:link w:val="7"/>
    <w:semiHidden/>
    <w:qFormat/>
    <w:uiPriority w:val="9"/>
    <w:rPr>
      <w:rFonts w:asciiTheme="majorHAnsi" w:hAnsiTheme="majorHAnsi" w:eastAsiaTheme="majorEastAsia" w:cstheme="majorBidi"/>
      <w:i/>
      <w:iCs/>
      <w:color w:val="4F81BD" w:themeColor="accent1"/>
      <w14:textFill>
        <w14:solidFill>
          <w14:schemeClr w14:val="accent1"/>
        </w14:solidFill>
      </w14:textFill>
    </w:rPr>
  </w:style>
  <w:style w:type="character" w:customStyle="1" w:styleId="28">
    <w:name w:val="标题 7 Char"/>
    <w:basedOn w:val="19"/>
    <w:link w:val="8"/>
    <w:semiHidden/>
    <w:qFormat/>
    <w:uiPriority w:val="9"/>
    <w:rPr>
      <w:rFonts w:asciiTheme="majorHAnsi" w:hAnsiTheme="majorHAnsi" w:eastAsiaTheme="majorEastAsia" w:cstheme="majorBidi"/>
      <w:b/>
      <w:bCs/>
      <w:color w:val="9BBB59" w:themeColor="accent3"/>
      <w:sz w:val="20"/>
      <w:szCs w:val="20"/>
      <w14:textFill>
        <w14:solidFill>
          <w14:schemeClr w14:val="accent3"/>
        </w14:solidFill>
      </w14:textFill>
    </w:rPr>
  </w:style>
  <w:style w:type="character" w:customStyle="1" w:styleId="29">
    <w:name w:val="标题 8 Char"/>
    <w:basedOn w:val="19"/>
    <w:link w:val="9"/>
    <w:semiHidden/>
    <w:qFormat/>
    <w:uiPriority w:val="9"/>
    <w:rPr>
      <w:rFonts w:asciiTheme="majorHAnsi" w:hAnsiTheme="majorHAnsi" w:eastAsiaTheme="majorEastAsia" w:cstheme="majorBidi"/>
      <w:b/>
      <w:bCs/>
      <w:i/>
      <w:iCs/>
      <w:color w:val="9BBB59" w:themeColor="accent3"/>
      <w:sz w:val="20"/>
      <w:szCs w:val="20"/>
      <w14:textFill>
        <w14:solidFill>
          <w14:schemeClr w14:val="accent3"/>
        </w14:solidFill>
      </w14:textFill>
    </w:rPr>
  </w:style>
  <w:style w:type="character" w:customStyle="1" w:styleId="30">
    <w:name w:val="标题 9 Char"/>
    <w:basedOn w:val="19"/>
    <w:link w:val="10"/>
    <w:semiHidden/>
    <w:qFormat/>
    <w:uiPriority w:val="9"/>
    <w:rPr>
      <w:rFonts w:asciiTheme="majorHAnsi" w:hAnsiTheme="majorHAnsi" w:eastAsiaTheme="majorEastAsia" w:cstheme="majorBidi"/>
      <w:i/>
      <w:iCs/>
      <w:color w:val="9BBB59" w:themeColor="accent3"/>
      <w:sz w:val="20"/>
      <w:szCs w:val="20"/>
      <w14:textFill>
        <w14:solidFill>
          <w14:schemeClr w14:val="accent3"/>
        </w14:solidFill>
      </w14:textFill>
    </w:rPr>
  </w:style>
  <w:style w:type="character" w:customStyle="1" w:styleId="31">
    <w:name w:val="标题 Char"/>
    <w:basedOn w:val="19"/>
    <w:link w:val="17"/>
    <w:qFormat/>
    <w:uiPriority w:val="10"/>
    <w:rPr>
      <w:rFonts w:asciiTheme="majorHAnsi" w:hAnsiTheme="majorHAnsi" w:eastAsiaTheme="majorEastAsia" w:cstheme="majorBidi"/>
      <w:i/>
      <w:iCs/>
      <w:color w:val="254061" w:themeColor="accent1" w:themeShade="80"/>
      <w:sz w:val="60"/>
      <w:szCs w:val="60"/>
    </w:rPr>
  </w:style>
  <w:style w:type="character" w:customStyle="1" w:styleId="32">
    <w:name w:val="副标题 Char"/>
    <w:basedOn w:val="19"/>
    <w:link w:val="15"/>
    <w:qFormat/>
    <w:uiPriority w:val="11"/>
    <w:rPr>
      <w:rFonts w:asciiTheme="minorHAnsi"/>
      <w:i/>
      <w:iCs/>
      <w:sz w:val="24"/>
      <w:szCs w:val="24"/>
    </w:rPr>
  </w:style>
  <w:style w:type="paragraph" w:styleId="33">
    <w:name w:val="No Spacing"/>
    <w:basedOn w:val="1"/>
    <w:link w:val="34"/>
    <w:qFormat/>
    <w:uiPriority w:val="1"/>
    <w:pPr>
      <w:ind w:firstLine="0"/>
    </w:pPr>
  </w:style>
  <w:style w:type="character" w:customStyle="1" w:styleId="34">
    <w:name w:val="无间隔 Char"/>
    <w:basedOn w:val="19"/>
    <w:link w:val="33"/>
    <w:qFormat/>
    <w:uiPriority w:val="1"/>
  </w:style>
  <w:style w:type="paragraph" w:styleId="35">
    <w:name w:val="List Paragraph"/>
    <w:basedOn w:val="1"/>
    <w:qFormat/>
    <w:uiPriority w:val="34"/>
    <w:pPr>
      <w:ind w:left="720"/>
      <w:contextualSpacing/>
    </w:pPr>
  </w:style>
  <w:style w:type="paragraph" w:styleId="36">
    <w:name w:val="Quote"/>
    <w:basedOn w:val="1"/>
    <w:next w:val="1"/>
    <w:link w:val="37"/>
    <w:qFormat/>
    <w:uiPriority w:val="29"/>
    <w:rPr>
      <w:rFonts w:asciiTheme="majorHAnsi" w:hAnsiTheme="majorHAnsi"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37">
    <w:name w:val="引用 Char"/>
    <w:basedOn w:val="19"/>
    <w:link w:val="36"/>
    <w:qFormat/>
    <w:uiPriority w:val="29"/>
    <w:rPr>
      <w:rFonts w:asciiTheme="majorHAnsi" w:hAnsiTheme="majorHAnsi" w:eastAsiaTheme="majorEastAsia" w:cstheme="majorBidi"/>
      <w:i/>
      <w:iCs/>
      <w:color w:val="595959" w:themeColor="text1" w:themeTint="A6"/>
      <w14:textFill>
        <w14:solidFill>
          <w14:schemeClr w14:val="tx1">
            <w14:lumMod w14:val="65000"/>
            <w14:lumOff w14:val="35000"/>
          </w14:schemeClr>
        </w14:solidFill>
      </w14:textFill>
    </w:rPr>
  </w:style>
  <w:style w:type="paragraph" w:styleId="38">
    <w:name w:val="Intense Quote"/>
    <w:basedOn w:val="1"/>
    <w:next w:val="1"/>
    <w:link w:val="39"/>
    <w:qFormat/>
    <w:uiPriority w:val="30"/>
    <w:pPr>
      <w:pBdr>
        <w:top w:val="single" w:color="B8CCE4" w:themeColor="accent1" w:themeTint="66" w:sz="12" w:space="10"/>
        <w:left w:val="single" w:color="4F81BD" w:themeColor="accent1" w:sz="36" w:space="4"/>
        <w:bottom w:val="single" w:color="9BBB59" w:themeColor="accent3" w:sz="24" w:space="10"/>
        <w:right w:val="single" w:color="4F81BD" w:themeColor="accent1" w:sz="36" w:space="4"/>
      </w:pBdr>
      <w:shd w:val="clear" w:color="auto" w:fill="4F81BD" w:themeFill="accent1"/>
      <w:spacing w:before="320" w:after="320" w:line="300" w:lineRule="auto"/>
      <w:ind w:left="1440" w:right="1440"/>
    </w:pPr>
    <w:rPr>
      <w:rFonts w:asciiTheme="majorHAnsi" w:hAnsiTheme="majorHAnsi" w:eastAsiaTheme="majorEastAsia" w:cstheme="majorBidi"/>
      <w:i/>
      <w:iCs/>
      <w:color w:val="FFFFFF" w:themeColor="background1"/>
      <w:sz w:val="24"/>
      <w:szCs w:val="24"/>
      <w14:textFill>
        <w14:solidFill>
          <w14:schemeClr w14:val="bg1"/>
        </w14:solidFill>
      </w14:textFill>
    </w:rPr>
  </w:style>
  <w:style w:type="character" w:customStyle="1" w:styleId="39">
    <w:name w:val="明显引用 Char"/>
    <w:basedOn w:val="19"/>
    <w:link w:val="38"/>
    <w:qFormat/>
    <w:uiPriority w:val="30"/>
    <w:rPr>
      <w:rFonts w:asciiTheme="majorHAnsi" w:hAnsiTheme="majorHAnsi" w:eastAsiaTheme="majorEastAsia" w:cstheme="majorBidi"/>
      <w:i/>
      <w:iCs/>
      <w:color w:val="FFFFFF" w:themeColor="background1"/>
      <w:sz w:val="24"/>
      <w:szCs w:val="24"/>
      <w:shd w:val="clear" w:color="auto" w:fill="4F81BD" w:themeFill="accent1"/>
      <w14:textFill>
        <w14:solidFill>
          <w14:schemeClr w14:val="bg1"/>
        </w14:solidFill>
      </w14:textFill>
    </w:rPr>
  </w:style>
  <w:style w:type="character" w:customStyle="1" w:styleId="40">
    <w:name w:val="不明显强调1"/>
    <w:qFormat/>
    <w:uiPriority w:val="19"/>
    <w:rPr>
      <w:i/>
      <w:iCs/>
      <w:color w:val="595959" w:themeColor="text1" w:themeTint="A6"/>
      <w14:textFill>
        <w14:solidFill>
          <w14:schemeClr w14:val="tx1">
            <w14:lumMod w14:val="65000"/>
            <w14:lumOff w14:val="35000"/>
          </w14:schemeClr>
        </w14:solidFill>
      </w14:textFill>
    </w:rPr>
  </w:style>
  <w:style w:type="character" w:customStyle="1" w:styleId="41">
    <w:name w:val="明显强调1"/>
    <w:qFormat/>
    <w:uiPriority w:val="21"/>
    <w:rPr>
      <w:b/>
      <w:bCs/>
      <w:i/>
      <w:iCs/>
      <w:color w:val="4F81BD" w:themeColor="accent1"/>
      <w:sz w:val="22"/>
      <w:szCs w:val="22"/>
      <w14:textFill>
        <w14:solidFill>
          <w14:schemeClr w14:val="accent1"/>
        </w14:solidFill>
      </w14:textFill>
    </w:rPr>
  </w:style>
  <w:style w:type="character" w:customStyle="1" w:styleId="42">
    <w:name w:val="不明显参考1"/>
    <w:qFormat/>
    <w:uiPriority w:val="31"/>
    <w:rPr>
      <w:color w:val="auto"/>
      <w:u w:val="single" w:color="9BBB59" w:themeColor="accent3"/>
    </w:rPr>
  </w:style>
  <w:style w:type="character" w:customStyle="1" w:styleId="43">
    <w:name w:val="明显参考1"/>
    <w:basedOn w:val="19"/>
    <w:qFormat/>
    <w:uiPriority w:val="32"/>
    <w:rPr>
      <w:b/>
      <w:bCs/>
      <w:color w:val="77933C" w:themeColor="accent3" w:themeShade="BF"/>
      <w:u w:val="single" w:color="9BBB59" w:themeColor="accent3"/>
    </w:rPr>
  </w:style>
  <w:style w:type="character" w:customStyle="1" w:styleId="44">
    <w:name w:val="书籍标题1"/>
    <w:basedOn w:val="19"/>
    <w:qFormat/>
    <w:uiPriority w:val="33"/>
    <w:rPr>
      <w:rFonts w:asciiTheme="majorHAnsi" w:hAnsiTheme="majorHAnsi" w:eastAsiaTheme="majorEastAsia" w:cstheme="majorBidi"/>
      <w:b/>
      <w:bCs/>
      <w:i/>
      <w:iCs/>
      <w:color w:val="auto"/>
    </w:rPr>
  </w:style>
  <w:style w:type="paragraph" w:customStyle="1" w:styleId="45">
    <w:name w:val="TOC 标题1"/>
    <w:basedOn w:val="2"/>
    <w:next w:val="1"/>
    <w:semiHidden/>
    <w:unhideWhenUsed/>
    <w:qFormat/>
    <w:uiPriority w:val="39"/>
    <w:pPr>
      <w:outlineLvl w:val="9"/>
    </w:pPr>
  </w:style>
  <w:style w:type="character" w:customStyle="1" w:styleId="46">
    <w:name w:val="页眉 Char"/>
    <w:basedOn w:val="19"/>
    <w:link w:val="14"/>
    <w:qFormat/>
    <w:uiPriority w:val="99"/>
    <w:rPr>
      <w:sz w:val="18"/>
      <w:szCs w:val="18"/>
      <w:lang w:eastAsia="en-US" w:bidi="en-US"/>
    </w:rPr>
  </w:style>
  <w:style w:type="character" w:customStyle="1" w:styleId="47">
    <w:name w:val="页脚 Char"/>
    <w:basedOn w:val="19"/>
    <w:link w:val="13"/>
    <w:qFormat/>
    <w:uiPriority w:val="99"/>
    <w:rPr>
      <w:sz w:val="18"/>
      <w:szCs w:val="18"/>
      <w:lang w:eastAsia="en-US" w:bidi="en-US"/>
    </w:rPr>
  </w:style>
  <w:style w:type="character" w:customStyle="1" w:styleId="48">
    <w:name w:val="批注框文本 Char"/>
    <w:basedOn w:val="19"/>
    <w:link w:val="12"/>
    <w:semiHidden/>
    <w:qFormat/>
    <w:uiPriority w:val="99"/>
    <w:rPr>
      <w:sz w:val="18"/>
      <w:szCs w:val="18"/>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Pages>
  <Words>566</Words>
  <Characters>3227</Characters>
  <Lines>26</Lines>
  <Paragraphs>7</Paragraphs>
  <TotalTime>2</TotalTime>
  <ScaleCrop>false</ScaleCrop>
  <LinksUpToDate>false</LinksUpToDate>
  <CharactersWithSpaces>3786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2021-02-25T00:38:00Z</dcterms:created>
  <dc:creator>li</dc:creator>
  <cp:lastModifiedBy>sun</cp:lastModifiedBy>
  <cp:lastPrinted>2021-03-18T00:39:00Z</cp:lastPrinted>
  <dcterms:modified xsi:type="dcterms:W3CDTF">2021-03-18T08:38:34Z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37B9820F22874C0C803023E38D41184F</vt:lpwstr>
  </property>
</Properties>
</file>