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34" w:rsidRDefault="00AB6734" w:rsidP="00AB6734">
      <w:pPr>
        <w:spacing w:line="560" w:lineRule="exact"/>
        <w:jc w:val="center"/>
        <w:rPr>
          <w:rFonts w:ascii="仿宋" w:eastAsia="仿宋" w:hAnsi="仿宋"/>
          <w:b/>
          <w:sz w:val="36"/>
          <w:szCs w:val="36"/>
        </w:rPr>
      </w:pPr>
      <w:bookmarkStart w:id="0" w:name="_GoBack"/>
      <w:r>
        <w:rPr>
          <w:rFonts w:ascii="仿宋" w:eastAsia="仿宋" w:hAnsi="仿宋" w:hint="eastAsia"/>
          <w:b/>
          <w:sz w:val="36"/>
          <w:szCs w:val="36"/>
        </w:rPr>
        <w:t>国家级虚拟仿真实验教学项目评审标准</w:t>
      </w:r>
    </w:p>
    <w:tbl>
      <w:tblPr>
        <w:tblpPr w:leftFromText="180" w:rightFromText="180" w:vertAnchor="text" w:horzAnchor="margin" w:tblpXSpec="center" w:tblpY="72"/>
        <w:tblW w:w="6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7086"/>
        <w:gridCol w:w="709"/>
        <w:gridCol w:w="743"/>
      </w:tblGrid>
      <w:tr w:rsidR="00345B4C" w:rsidTr="00345B4C">
        <w:trPr>
          <w:trHeight w:val="416"/>
        </w:trPr>
        <w:tc>
          <w:tcPr>
            <w:tcW w:w="831" w:type="pct"/>
            <w:tcBorders>
              <w:top w:val="single" w:sz="4" w:space="0" w:color="auto"/>
              <w:left w:val="single" w:sz="4" w:space="0" w:color="auto"/>
              <w:bottom w:val="single" w:sz="4" w:space="0" w:color="auto"/>
              <w:right w:val="single" w:sz="4" w:space="0" w:color="auto"/>
            </w:tcBorders>
            <w:vAlign w:val="center"/>
            <w:hideMark/>
          </w:tcPr>
          <w:bookmarkEnd w:id="0"/>
          <w:p w:rsidR="00345B4C" w:rsidRDefault="00345B4C" w:rsidP="00345B4C">
            <w:pPr>
              <w:adjustRightInd w:val="0"/>
              <w:snapToGrid w:val="0"/>
              <w:spacing w:line="440" w:lineRule="exact"/>
            </w:pPr>
            <w:r>
              <w:rPr>
                <w:rFonts w:hint="eastAsia"/>
              </w:rPr>
              <w:t>一级指标</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主要观测点</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分值</w:t>
            </w:r>
          </w:p>
        </w:tc>
        <w:tc>
          <w:tcPr>
            <w:tcW w:w="363"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打分</w:t>
            </w:r>
          </w:p>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以学生为中心的实验教学理念（</w:t>
            </w:r>
            <w:r>
              <w:t>10</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注重对学生社会责任感、创新精神、实践能力的综合培养</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3</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注重知识传授、能力培养、素质提高的协同实施</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3</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调动学生参与实验教学的积极性和主动性，激发学生的学习兴趣和潜能，增强学生创新创造能力</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4</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准确适宜的实验教学内容（</w:t>
            </w:r>
            <w:r>
              <w:t>15</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坚持问题导向，重点解决真实实验项目条件不具备或实际运行困难，涉及高危或极端环境，高成本、高消耗、不可逆操作、大型综合训练等问题</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7</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坚持需求导向，紧密结合经济社会发展对高校人才培养的需求，紧密结合专业特色和行业产业发展最新成果，紧密结合学校定位和人才培养特点</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采用现代信息技术，研发原理准确、内容紧凑、时长合理、难度适宜的虚拟仿真实验教学项目</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3</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spacing w:line="560" w:lineRule="exact"/>
            </w:pPr>
            <w:r>
              <w:rPr>
                <w:rFonts w:hint="eastAsia"/>
              </w:rPr>
              <w:t>创新多样的教学方式方法（</w:t>
            </w:r>
            <w:r>
              <w:t>10</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实行基于问题、案例的互动式、研讨式教学，倡导自主式、合作式、探究式学习</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注重通过文字、图片、视频等各种媒介促进教学准备、线上讨论、线下交流。加强网络化条件下实验教学规律研究，探索提升实验教学效果的方式方法</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spacing w:line="560" w:lineRule="exact"/>
            </w:pPr>
            <w:r>
              <w:rPr>
                <w:rFonts w:hint="eastAsia"/>
              </w:rPr>
              <w:t>先进可靠的实验研发技术（</w:t>
            </w:r>
            <w:r>
              <w:t>15</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以完成教学要求和内容为目标，综合应用多媒体、大数据、三维建模、人工智能、人机交互、传感器、超级计算、虚拟现实、增强现实、云计算等网络化、数字化、智能化技术手段，提高实验教学项目的吸引力和教学有效度</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8</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加强相关技术可靠性研究，注重对学生使用虚拟仿真实验教学项目的全方位、多层次防护，切实保障学生健康</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7</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稳定安全的开放运行模式（</w:t>
            </w:r>
            <w:r>
              <w:t>10</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充分考虑不同区域、不同层次、不同类型学生接入实验教学项目的运行需求，搭建具有开放性、扩展性、兼容性和前瞻性的虚拟仿真实验教学项目运行平台</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7</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注重对相关实验教学项目自有或共有知识产权的保护，注重对学生个人信息等的保护</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3</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spacing w:line="560" w:lineRule="exact"/>
            </w:pPr>
            <w:r>
              <w:rPr>
                <w:rFonts w:hint="eastAsia"/>
              </w:rPr>
              <w:t>敬业专业的实验教学队伍（</w:t>
            </w:r>
            <w:r>
              <w:t>10</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建设师德高尚、热爱教学、知识丰富、能力过硬、结构合理的虚拟仿真实验教学团队</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健全完善实验教学队伍考核、奖励、监督机制，鼓励和支持教师参与虚拟仿真实验教学项目研发和教学实践</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持续改进的实验评价体系（</w:t>
            </w:r>
            <w:r>
              <w:t>15</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将虚拟仿真实验教学项目纳入相关专业培养方案和教学课程，制订相关教学效果评价办法</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持续改进相关教学评价机制</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鼓励高校探索有利于虚拟仿真实验教学项目开放共享的教学绩效激励机制，建立高校间相关实验教学项目成绩互认、学分转换机制</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132"/>
        </w:trPr>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adjustRightInd w:val="0"/>
              <w:snapToGrid w:val="0"/>
              <w:spacing w:line="440" w:lineRule="exact"/>
            </w:pPr>
            <w:r>
              <w:rPr>
                <w:rFonts w:hint="eastAsia"/>
              </w:rPr>
              <w:t>显著示范的实验教学效果（</w:t>
            </w:r>
            <w:r>
              <w:t>15</w:t>
            </w:r>
            <w:r>
              <w:rPr>
                <w:rFonts w:hint="eastAsia"/>
              </w:rPr>
              <w:t>）</w:t>
            </w: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r>
              <w:rPr>
                <w:rFonts w:hint="eastAsia"/>
              </w:rPr>
              <w:t>虚拟仿真实验教学效果显著，受益面大，学生实验兴趣浓厚，自主学习能力明显增强，实践创新能力明显提高</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10</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r w:rsidR="00345B4C" w:rsidTr="00345B4C">
        <w:trPr>
          <w:trHeight w:val="691"/>
        </w:trPr>
        <w:tc>
          <w:tcPr>
            <w:tcW w:w="831" w:type="pct"/>
            <w:vMerge/>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widowControl/>
              <w:jc w:val="left"/>
            </w:pPr>
          </w:p>
        </w:tc>
        <w:tc>
          <w:tcPr>
            <w:tcW w:w="3460"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left"/>
            </w:pPr>
            <w:r>
              <w:rPr>
                <w:rFonts w:hint="eastAsia"/>
              </w:rPr>
              <w:t>通过开展在线教学服务或技术支持等，积极发挥对专业类内实验教学信息化建设的示范引领作用</w:t>
            </w:r>
          </w:p>
        </w:tc>
        <w:tc>
          <w:tcPr>
            <w:tcW w:w="346" w:type="pct"/>
            <w:tcBorders>
              <w:top w:val="single" w:sz="4" w:space="0" w:color="auto"/>
              <w:left w:val="single" w:sz="4" w:space="0" w:color="auto"/>
              <w:bottom w:val="single" w:sz="4" w:space="0" w:color="auto"/>
              <w:right w:val="single" w:sz="4" w:space="0" w:color="auto"/>
            </w:tcBorders>
            <w:vAlign w:val="center"/>
            <w:hideMark/>
          </w:tcPr>
          <w:p w:rsidR="00345B4C" w:rsidRDefault="00345B4C" w:rsidP="00345B4C">
            <w:pPr>
              <w:jc w:val="center"/>
            </w:pPr>
            <w:r>
              <w:t>5</w:t>
            </w:r>
          </w:p>
        </w:tc>
        <w:tc>
          <w:tcPr>
            <w:tcW w:w="363" w:type="pct"/>
            <w:tcBorders>
              <w:top w:val="single" w:sz="4" w:space="0" w:color="auto"/>
              <w:left w:val="single" w:sz="4" w:space="0" w:color="auto"/>
              <w:bottom w:val="single" w:sz="4" w:space="0" w:color="auto"/>
              <w:right w:val="single" w:sz="4" w:space="0" w:color="auto"/>
            </w:tcBorders>
            <w:vAlign w:val="center"/>
          </w:tcPr>
          <w:p w:rsidR="00345B4C" w:rsidRDefault="00345B4C" w:rsidP="00345B4C"/>
        </w:tc>
      </w:tr>
    </w:tbl>
    <w:p w:rsidR="00AB6734" w:rsidRDefault="00AB6734" w:rsidP="00AB6734">
      <w:pPr>
        <w:jc w:val="left"/>
        <w:rPr>
          <w:sz w:val="28"/>
          <w:szCs w:val="28"/>
        </w:rPr>
      </w:pPr>
    </w:p>
    <w:p w:rsidR="0073287D" w:rsidRDefault="0073287D"/>
    <w:sectPr w:rsidR="0073287D" w:rsidSect="00DE61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CE0" w:rsidRDefault="00437CE0" w:rsidP="002166E2">
      <w:r>
        <w:separator/>
      </w:r>
    </w:p>
  </w:endnote>
  <w:endnote w:type="continuationSeparator" w:id="0">
    <w:p w:rsidR="00437CE0" w:rsidRDefault="00437CE0" w:rsidP="002166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CE0" w:rsidRDefault="00437CE0" w:rsidP="002166E2">
      <w:r>
        <w:separator/>
      </w:r>
    </w:p>
  </w:footnote>
  <w:footnote w:type="continuationSeparator" w:id="0">
    <w:p w:rsidR="00437CE0" w:rsidRDefault="00437CE0" w:rsidP="002166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B26"/>
    <w:rsid w:val="000403C9"/>
    <w:rsid w:val="002166E2"/>
    <w:rsid w:val="002A36D8"/>
    <w:rsid w:val="00345B4C"/>
    <w:rsid w:val="00416B63"/>
    <w:rsid w:val="00437CE0"/>
    <w:rsid w:val="00612CAE"/>
    <w:rsid w:val="0073287D"/>
    <w:rsid w:val="00A704F4"/>
    <w:rsid w:val="00AB6734"/>
    <w:rsid w:val="00CD6066"/>
    <w:rsid w:val="00D56B26"/>
    <w:rsid w:val="00DE6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6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66E2"/>
    <w:rPr>
      <w:sz w:val="18"/>
      <w:szCs w:val="18"/>
    </w:rPr>
  </w:style>
  <w:style w:type="paragraph" w:styleId="a4">
    <w:name w:val="footer"/>
    <w:basedOn w:val="a"/>
    <w:link w:val="Char0"/>
    <w:uiPriority w:val="99"/>
    <w:semiHidden/>
    <w:unhideWhenUsed/>
    <w:rsid w:val="002166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66E2"/>
    <w:rPr>
      <w:sz w:val="18"/>
      <w:szCs w:val="18"/>
    </w:rPr>
  </w:style>
  <w:style w:type="paragraph" w:styleId="a5">
    <w:name w:val="Normal (Web)"/>
    <w:basedOn w:val="a"/>
    <w:rsid w:val="002A36D8"/>
    <w:pPr>
      <w:widowControl/>
      <w:spacing w:before="100" w:beforeAutospacing="1" w:after="100" w:afterAutospacing="1"/>
      <w:jc w:val="left"/>
    </w:pPr>
    <w:rPr>
      <w:rFonts w:ascii="宋体" w:eastAsia="宋体" w:hAnsi="宋体" w:cs="Times New Roman"/>
      <w:kern w:val="0"/>
      <w:sz w:val="24"/>
      <w:szCs w:val="24"/>
    </w:rPr>
  </w:style>
  <w:style w:type="paragraph" w:styleId="a6">
    <w:name w:val="Balloon Text"/>
    <w:basedOn w:val="a"/>
    <w:link w:val="Char1"/>
    <w:uiPriority w:val="99"/>
    <w:semiHidden/>
    <w:unhideWhenUsed/>
    <w:rsid w:val="00345B4C"/>
    <w:rPr>
      <w:sz w:val="18"/>
      <w:szCs w:val="18"/>
    </w:rPr>
  </w:style>
  <w:style w:type="character" w:customStyle="1" w:styleId="Char1">
    <w:name w:val="批注框文本 Char"/>
    <w:basedOn w:val="a0"/>
    <w:link w:val="a6"/>
    <w:uiPriority w:val="99"/>
    <w:semiHidden/>
    <w:rsid w:val="00345B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22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xush</dc:creator>
  <cp:keywords/>
  <dc:description/>
  <cp:lastModifiedBy>cxz</cp:lastModifiedBy>
  <cp:revision>9</cp:revision>
  <cp:lastPrinted>2019-07-18T04:23:00Z</cp:lastPrinted>
  <dcterms:created xsi:type="dcterms:W3CDTF">2018-09-14T01:05:00Z</dcterms:created>
  <dcterms:modified xsi:type="dcterms:W3CDTF">2019-07-18T04:25:00Z</dcterms:modified>
</cp:coreProperties>
</file>